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EAB7" w14:textId="466A6655" w:rsidR="000A29F4" w:rsidRDefault="000A29F4">
      <w:pPr>
        <w:pStyle w:val="a3"/>
        <w:rPr>
          <w:rFonts w:ascii="Times New Roman"/>
          <w:sz w:val="20"/>
        </w:rPr>
      </w:pPr>
    </w:p>
    <w:p w14:paraId="1D545EF3" w14:textId="1784DDEF" w:rsidR="000A29F4" w:rsidRDefault="00EA019F">
      <w:pPr>
        <w:pStyle w:val="a4"/>
      </w:pPr>
      <w:proofErr w:type="spellStart"/>
      <w:r>
        <w:rPr>
          <w:rFonts w:eastAsia="宋体"/>
          <w:color w:val="231F20"/>
          <w:spacing w:val="-2"/>
          <w:w w:val="80"/>
        </w:rPr>
        <w:t>慢性肾病用药</w:t>
      </w:r>
      <w:proofErr w:type="spellEnd"/>
    </w:p>
    <w:p w14:paraId="48CB5C67" w14:textId="77777777" w:rsidR="000A29F4" w:rsidRDefault="000A29F4">
      <w:pPr>
        <w:pStyle w:val="a3"/>
        <w:spacing w:before="44"/>
        <w:rPr>
          <w:rFonts w:ascii="Arial Black"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4" w:space="0" w:color="298EC1"/>
          <w:left w:val="single" w:sz="4" w:space="0" w:color="298EC1"/>
          <w:bottom w:val="single" w:sz="4" w:space="0" w:color="298EC1"/>
          <w:right w:val="single" w:sz="4" w:space="0" w:color="298EC1"/>
          <w:insideH w:val="single" w:sz="4" w:space="0" w:color="298EC1"/>
          <w:insideV w:val="single" w:sz="4" w:space="0" w:color="298EC1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890"/>
        <w:gridCol w:w="810"/>
        <w:gridCol w:w="1260"/>
        <w:gridCol w:w="1710"/>
        <w:gridCol w:w="3060"/>
      </w:tblGrid>
      <w:tr w:rsidR="000A29F4" w14:paraId="321DCA53" w14:textId="77777777">
        <w:trPr>
          <w:trHeight w:val="783"/>
        </w:trPr>
        <w:tc>
          <w:tcPr>
            <w:tcW w:w="2070" w:type="dxa"/>
            <w:shd w:val="clear" w:color="auto" w:fill="D3E0EE"/>
          </w:tcPr>
          <w:p w14:paraId="3CA4CA3D" w14:textId="580964CE" w:rsidR="000A29F4" w:rsidRDefault="00615F46">
            <w:pPr>
              <w:pStyle w:val="TableParagraph"/>
              <w:spacing w:before="49"/>
              <w:ind w:left="10"/>
              <w:jc w:val="center"/>
              <w:rPr>
                <w:rFonts w:ascii="Arial Black"/>
                <w:sz w:val="17"/>
              </w:rPr>
            </w:pPr>
            <w:r>
              <w:rPr>
                <w:rFonts w:ascii="Arial Black" w:eastAsia="宋体" w:hint="eastAsia"/>
                <w:color w:val="231F20"/>
                <w:w w:val="80"/>
                <w:sz w:val="17"/>
                <w:lang w:eastAsia="zh-CN"/>
              </w:rPr>
              <w:t>药</w:t>
            </w:r>
            <w:r w:rsidR="00EA019F">
              <w:rPr>
                <w:rFonts w:ascii="Arial Black" w:eastAsia="宋体"/>
                <w:color w:val="231F20"/>
                <w:w w:val="80"/>
                <w:sz w:val="17"/>
              </w:rPr>
              <w:t xml:space="preserve"> </w:t>
            </w:r>
            <w:r w:rsidR="00EA019F">
              <w:rPr>
                <w:rFonts w:ascii="Arial Black" w:eastAsia="宋体"/>
                <w:color w:val="231F20"/>
                <w:spacing w:val="-4"/>
                <w:w w:val="90"/>
                <w:sz w:val="17"/>
              </w:rPr>
              <w:t>名</w:t>
            </w:r>
          </w:p>
          <w:p w14:paraId="303A6915" w14:textId="77777777" w:rsidR="000A29F4" w:rsidRDefault="00EA019F">
            <w:pPr>
              <w:pStyle w:val="TableParagraph"/>
              <w:spacing w:line="253" w:lineRule="exact"/>
              <w:ind w:left="10"/>
              <w:jc w:val="center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w w:val="85"/>
                <w:sz w:val="17"/>
              </w:rPr>
              <w:t>剂型与浓度</w:t>
            </w:r>
            <w:proofErr w:type="spellEnd"/>
          </w:p>
        </w:tc>
        <w:tc>
          <w:tcPr>
            <w:tcW w:w="1890" w:type="dxa"/>
            <w:shd w:val="clear" w:color="auto" w:fill="D3E0EE"/>
          </w:tcPr>
          <w:p w14:paraId="4BDE0EAA" w14:textId="22862F45" w:rsidR="000A29F4" w:rsidRDefault="00EA019F">
            <w:pPr>
              <w:pStyle w:val="TableParagraph"/>
              <w:spacing w:before="68" w:line="216" w:lineRule="auto"/>
              <w:ind w:left="120" w:firstLine="253"/>
              <w:rPr>
                <w:position w:val="6"/>
                <w:sz w:val="10"/>
              </w:rPr>
            </w:pPr>
            <w:proofErr w:type="spellStart"/>
            <w:r>
              <w:rPr>
                <w:rFonts w:ascii="Arial Black" w:eastAsia="宋体"/>
                <w:color w:val="231F20"/>
                <w:spacing w:val="-2"/>
                <w:w w:val="90"/>
                <w:sz w:val="17"/>
              </w:rPr>
              <w:t>推荐</w:t>
            </w:r>
            <w:r>
              <w:rPr>
                <w:rFonts w:ascii="Arial Black" w:eastAsia="宋体"/>
                <w:color w:val="231F20"/>
                <w:w w:val="80"/>
                <w:sz w:val="17"/>
              </w:rPr>
              <w:t>剂量</w:t>
            </w:r>
            <w:proofErr w:type="spellEnd"/>
          </w:p>
        </w:tc>
        <w:tc>
          <w:tcPr>
            <w:tcW w:w="810" w:type="dxa"/>
            <w:shd w:val="clear" w:color="auto" w:fill="D3E0EE"/>
          </w:tcPr>
          <w:p w14:paraId="20E566E7" w14:textId="0CE04924" w:rsidR="000A29F4" w:rsidRDefault="000A29F4">
            <w:pPr>
              <w:pStyle w:val="TableParagraph"/>
              <w:spacing w:before="68" w:line="216" w:lineRule="auto"/>
              <w:ind w:right="77" w:firstLine="19"/>
              <w:jc w:val="both"/>
              <w:rPr>
                <w:position w:val="6"/>
                <w:sz w:val="10"/>
              </w:rPr>
            </w:pPr>
          </w:p>
        </w:tc>
        <w:tc>
          <w:tcPr>
            <w:tcW w:w="1260" w:type="dxa"/>
            <w:shd w:val="clear" w:color="auto" w:fill="D3E0EE"/>
          </w:tcPr>
          <w:p w14:paraId="1BA968EA" w14:textId="501D3DFF" w:rsidR="000A29F4" w:rsidRDefault="000A29F4">
            <w:pPr>
              <w:pStyle w:val="TableParagraph"/>
              <w:spacing w:before="68" w:line="216" w:lineRule="auto"/>
              <w:ind w:left="240" w:hanging="85"/>
              <w:rPr>
                <w:position w:val="6"/>
                <w:sz w:val="10"/>
              </w:rPr>
            </w:pPr>
          </w:p>
        </w:tc>
        <w:tc>
          <w:tcPr>
            <w:tcW w:w="1710" w:type="dxa"/>
            <w:shd w:val="clear" w:color="auto" w:fill="D3E0EE"/>
          </w:tcPr>
          <w:p w14:paraId="4D2A86F0" w14:textId="10D03646" w:rsidR="000A29F4" w:rsidRDefault="00EA019F">
            <w:pPr>
              <w:pStyle w:val="TableParagraph"/>
              <w:spacing w:before="49"/>
              <w:ind w:left="237"/>
              <w:rPr>
                <w:position w:val="6"/>
                <w:sz w:val="10"/>
              </w:rPr>
            </w:pPr>
            <w:proofErr w:type="spellStart"/>
            <w:r>
              <w:rPr>
                <w:rFonts w:ascii="Arial Black" w:eastAsia="宋体"/>
                <w:color w:val="231F20"/>
                <w:w w:val="80"/>
                <w:sz w:val="17"/>
              </w:rPr>
              <w:t>不良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</w:rPr>
              <w:t>反应</w:t>
            </w:r>
            <w:proofErr w:type="spellEnd"/>
            <w:r w:rsidR="00C80D18">
              <w:fldChar w:fldCharType="begin"/>
            </w:r>
            <w:r w:rsidR="00C80D18">
              <w:instrText xml:space="preserve"> HYPERLINK \l "_bookmark1" </w:instrText>
            </w:r>
            <w:r w:rsidR="00C80D18">
              <w:fldChar w:fldCharType="separate"/>
            </w:r>
            <w:r w:rsidR="00C80D18">
              <w:fldChar w:fldCharType="end"/>
            </w:r>
          </w:p>
        </w:tc>
        <w:tc>
          <w:tcPr>
            <w:tcW w:w="3060" w:type="dxa"/>
            <w:shd w:val="clear" w:color="auto" w:fill="D3E0EE"/>
          </w:tcPr>
          <w:p w14:paraId="73878C49" w14:textId="260E8E3D" w:rsidR="000A29F4" w:rsidRDefault="00EA019F">
            <w:pPr>
              <w:pStyle w:val="TableParagraph"/>
              <w:spacing w:before="68" w:line="216" w:lineRule="auto"/>
              <w:ind w:left="346" w:right="334" w:hanging="1"/>
              <w:jc w:val="center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药物相互作用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"_bookmark1" </w:instrText>
            </w:r>
            <w:r w:rsidR="00C80D18">
              <w:fldChar w:fldCharType="separate"/>
            </w:r>
            <w:r w:rsidR="00C80D18">
              <w:fldChar w:fldCharType="end"/>
            </w: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及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慢性肾病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>的治疗考虑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 xml:space="preserve"> </w:t>
            </w:r>
          </w:p>
        </w:tc>
      </w:tr>
      <w:tr w:rsidR="000A29F4" w14:paraId="419B827F" w14:textId="77777777">
        <w:trPr>
          <w:trHeight w:val="356"/>
        </w:trPr>
        <w:tc>
          <w:tcPr>
            <w:tcW w:w="10800" w:type="dxa"/>
            <w:gridSpan w:val="6"/>
            <w:tcBorders>
              <w:left w:val="nil"/>
              <w:bottom w:val="nil"/>
              <w:right w:val="nil"/>
            </w:tcBorders>
            <w:shd w:val="clear" w:color="auto" w:fill="298EC1"/>
          </w:tcPr>
          <w:p w14:paraId="3BE7AB18" w14:textId="77777777" w:rsidR="000A29F4" w:rsidRDefault="00EA019F">
            <w:pPr>
              <w:pStyle w:val="TableParagraph"/>
              <w:spacing w:before="49"/>
              <w:ind w:left="10" w:right="1"/>
              <w:jc w:val="center"/>
              <w:rPr>
                <w:rFonts w:ascii="Arial Black"/>
                <w:sz w:val="17"/>
              </w:rPr>
            </w:pPr>
            <w:proofErr w:type="spellStart"/>
            <w:r>
              <w:rPr>
                <w:rFonts w:ascii="Arial Black" w:eastAsia="宋体"/>
                <w:color w:val="FFFFFF"/>
                <w:w w:val="80"/>
                <w:sz w:val="17"/>
              </w:rPr>
              <w:t>慢性肾病药物</w:t>
            </w:r>
            <w:proofErr w:type="spellEnd"/>
          </w:p>
        </w:tc>
      </w:tr>
      <w:tr w:rsidR="000A29F4" w14:paraId="3DE0D2A3" w14:textId="77777777">
        <w:trPr>
          <w:trHeight w:val="572"/>
        </w:trPr>
        <w:tc>
          <w:tcPr>
            <w:tcW w:w="10800" w:type="dxa"/>
            <w:gridSpan w:val="6"/>
            <w:tcBorders>
              <w:top w:val="nil"/>
            </w:tcBorders>
          </w:tcPr>
          <w:p w14:paraId="05EA269F" w14:textId="77777777" w:rsidR="000A29F4" w:rsidRDefault="00EA019F">
            <w:pPr>
              <w:pStyle w:val="TableParagraph"/>
              <w:spacing w:before="54" w:line="228" w:lineRule="exact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钠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-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葡萄糖协转运蛋白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-2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抑制剂（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SGLT2i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）</w:t>
            </w:r>
          </w:p>
          <w:p w14:paraId="02D84522" w14:textId="28DDB758" w:rsidR="000A29F4" w:rsidRDefault="000A29F4">
            <w:pPr>
              <w:pStyle w:val="TableParagraph"/>
              <w:spacing w:line="250" w:lineRule="exact"/>
              <w:rPr>
                <w:sz w:val="17"/>
              </w:rPr>
            </w:pPr>
          </w:p>
        </w:tc>
      </w:tr>
      <w:tr w:rsidR="000A29F4" w14:paraId="5CD1530D" w14:textId="77777777">
        <w:trPr>
          <w:trHeight w:val="783"/>
        </w:trPr>
        <w:tc>
          <w:tcPr>
            <w:tcW w:w="2070" w:type="dxa"/>
          </w:tcPr>
          <w:p w14:paraId="74FD9446" w14:textId="364287B1" w:rsidR="000A29F4" w:rsidRDefault="00615F46">
            <w:pPr>
              <w:pStyle w:val="TableParagraph"/>
              <w:spacing w:before="55" w:line="232" w:lineRule="auto"/>
              <w:ind w:right="930"/>
              <w:rPr>
                <w:sz w:val="17"/>
                <w:lang w:eastAsia="zh-CN"/>
              </w:rPr>
            </w:pPr>
            <w:r w:rsidRPr="00615F46">
              <w:rPr>
                <w:rFonts w:ascii="Arial Black" w:eastAsia="宋体" w:hint="eastAsia"/>
                <w:color w:val="231F20"/>
                <w:spacing w:val="-2"/>
                <w:w w:val="85"/>
                <w:sz w:val="17"/>
                <w:lang w:eastAsia="zh-CN"/>
              </w:rPr>
              <w:t>达格列净，片剂：</w:t>
            </w:r>
            <w:r w:rsidRPr="00615F46">
              <w:rPr>
                <w:rFonts w:ascii="Arial Black" w:eastAsia="宋体"/>
                <w:color w:val="231F20"/>
                <w:spacing w:val="-2"/>
                <w:w w:val="85"/>
                <w:sz w:val="17"/>
                <w:lang w:eastAsia="zh-CN"/>
              </w:rPr>
              <w:t>5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85"/>
                <w:sz w:val="17"/>
                <w:lang w:eastAsia="zh-CN"/>
              </w:rPr>
              <w:t>毫克、</w:t>
            </w:r>
            <w:r w:rsidRPr="00615F46">
              <w:rPr>
                <w:rFonts w:ascii="Arial Black" w:eastAsia="宋体"/>
                <w:color w:val="231F20"/>
                <w:spacing w:val="-2"/>
                <w:w w:val="85"/>
                <w:sz w:val="17"/>
                <w:lang w:eastAsia="zh-CN"/>
              </w:rPr>
              <w:t>10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85"/>
                <w:sz w:val="17"/>
                <w:lang w:eastAsia="zh-CN"/>
              </w:rPr>
              <w:t>毫克</w:t>
            </w:r>
          </w:p>
        </w:tc>
        <w:tc>
          <w:tcPr>
            <w:tcW w:w="1890" w:type="dxa"/>
          </w:tcPr>
          <w:p w14:paraId="3F2E4933" w14:textId="77777777" w:rsidR="000A29F4" w:rsidRDefault="00EA019F">
            <w:pPr>
              <w:pStyle w:val="TableParagraph"/>
              <w:spacing w:before="82" w:line="199" w:lineRule="auto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每天一次口服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10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（慢性肾病试验剂量）</w:t>
            </w:r>
            <w:hyperlink w:anchor="_bookmark4" w:history="1">
              <w:r>
                <w:rPr>
                  <w:color w:val="231F20"/>
                  <w:w w:val="95"/>
                  <w:position w:val="6"/>
                  <w:sz w:val="10"/>
                  <w:lang w:eastAsia="zh-CN"/>
                </w:rPr>
                <w:t>1</w:t>
              </w:r>
            </w:hyperlink>
          </w:p>
        </w:tc>
        <w:tc>
          <w:tcPr>
            <w:tcW w:w="810" w:type="dxa"/>
          </w:tcPr>
          <w:p w14:paraId="6DBB0876" w14:textId="47D332D0" w:rsidR="000A29F4" w:rsidRDefault="000A29F4">
            <w:pPr>
              <w:pStyle w:val="TableParagraph"/>
              <w:spacing w:before="50"/>
              <w:ind w:left="90"/>
              <w:rPr>
                <w:sz w:val="17"/>
              </w:rPr>
            </w:pPr>
          </w:p>
        </w:tc>
        <w:tc>
          <w:tcPr>
            <w:tcW w:w="1260" w:type="dxa"/>
          </w:tcPr>
          <w:p w14:paraId="3B407607" w14:textId="136293F7" w:rsidR="000A29F4" w:rsidRDefault="000A29F4">
            <w:pPr>
              <w:pStyle w:val="TableParagraph"/>
              <w:spacing w:before="82" w:line="199" w:lineRule="auto"/>
              <w:ind w:right="591"/>
              <w:rPr>
                <w:sz w:val="17"/>
              </w:rPr>
            </w:pPr>
          </w:p>
        </w:tc>
        <w:tc>
          <w:tcPr>
            <w:tcW w:w="1710" w:type="dxa"/>
            <w:vMerge w:val="restart"/>
          </w:tcPr>
          <w:p w14:paraId="32FCB865" w14:textId="2054F9F3" w:rsidR="000A29F4" w:rsidRDefault="00EA019F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before="82" w:line="199" w:lineRule="auto"/>
              <w:ind w:right="230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生殖器真菌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感染风险增加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;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大多数患者可通过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局部抗真菌药</w:t>
            </w:r>
            <w:r w:rsidR="00615F46" w:rsidRPr="00615F46">
              <w:rPr>
                <w:rFonts w:ascii="宋体" w:eastAsia="宋体" w:hAnsi="宋体" w:cs="微软雅黑" w:hint="eastAsia"/>
                <w:sz w:val="16"/>
                <w:szCs w:val="16"/>
                <w:lang w:eastAsia="zh-CN"/>
              </w:rPr>
              <w:t>控制</w:t>
            </w:r>
          </w:p>
          <w:p w14:paraId="243AC9F8" w14:textId="23B19573" w:rsidR="000A29F4" w:rsidRDefault="00EA019F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199" w:lineRule="auto"/>
              <w:ind w:right="122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卡格</w:t>
            </w:r>
            <w:r w:rsidR="00615F46" w:rsidRPr="00615F46">
              <w:rPr>
                <w:rFonts w:ascii="Arial Black" w:eastAsia="宋体" w:hint="eastAsia"/>
                <w:color w:val="231F20"/>
                <w:spacing w:val="-2"/>
                <w:w w:val="85"/>
                <w:sz w:val="17"/>
                <w:lang w:eastAsia="zh-CN"/>
              </w:rPr>
              <w:t>列净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：降低骨密度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和</w:t>
            </w: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骨骨折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风险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增加</w:t>
            </w:r>
          </w:p>
          <w:p w14:paraId="7E62E94F" w14:textId="77777777" w:rsidR="000A29F4" w:rsidRDefault="00EA019F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203" w:lineRule="exact"/>
              <w:ind w:hanging="179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spacing w:val="-2"/>
                <w:sz w:val="17"/>
              </w:rPr>
              <w:t>稀有</w:t>
            </w:r>
            <w:proofErr w:type="spellEnd"/>
            <w:r>
              <w:rPr>
                <w:rFonts w:eastAsia="宋体"/>
                <w:color w:val="231F20"/>
                <w:spacing w:val="-2"/>
                <w:sz w:val="17"/>
              </w:rPr>
              <w:t>：</w:t>
            </w:r>
          </w:p>
          <w:p w14:paraId="339D8113" w14:textId="77777777" w:rsidR="000A29F4" w:rsidRDefault="00EA019F">
            <w:pPr>
              <w:pStyle w:val="TableParagraph"/>
              <w:numPr>
                <w:ilvl w:val="1"/>
                <w:numId w:val="20"/>
              </w:numPr>
              <w:tabs>
                <w:tab w:val="left" w:pos="449"/>
              </w:tabs>
              <w:spacing w:before="4" w:line="199" w:lineRule="auto"/>
              <w:ind w:right="360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糖尿病</w:t>
            </w: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 xml:space="preserve"> </w:t>
            </w:r>
            <w:r>
              <w:rPr>
                <w:rFonts w:eastAsia="宋体"/>
                <w:color w:val="231F20"/>
                <w:spacing w:val="-2"/>
                <w:w w:val="85"/>
                <w:sz w:val="17"/>
              </w:rPr>
              <w:t>酮症酸中毒</w:t>
            </w:r>
          </w:p>
          <w:p w14:paraId="4E47EAB3" w14:textId="182BF197" w:rsidR="000A29F4" w:rsidRDefault="00EA019F" w:rsidP="00615F46">
            <w:pPr>
              <w:pStyle w:val="TableParagraph"/>
              <w:numPr>
                <w:ilvl w:val="1"/>
                <w:numId w:val="20"/>
              </w:numPr>
              <w:spacing w:line="199" w:lineRule="auto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低血糖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（</w:t>
            </w:r>
            <w:r w:rsidR="00615F46" w:rsidRPr="00615F46">
              <w:rPr>
                <w:rFonts w:eastAsia="宋体" w:hint="eastAsia"/>
                <w:color w:val="231F20"/>
                <w:w w:val="95"/>
                <w:sz w:val="17"/>
                <w:lang w:eastAsia="zh-CN"/>
              </w:rPr>
              <w:t>在缺乏（其他降血糖药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）</w:t>
            </w:r>
          </w:p>
        </w:tc>
        <w:tc>
          <w:tcPr>
            <w:tcW w:w="3060" w:type="dxa"/>
            <w:vMerge w:val="restart"/>
          </w:tcPr>
          <w:p w14:paraId="792AC1F2" w14:textId="77777777" w:rsidR="00615F46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right="166"/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开始使用或使用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CKD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监测频率无需改变。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</w:p>
          <w:p w14:paraId="785F6935" w14:textId="77777777" w:rsidR="00615F46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right="166"/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开始治疗时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eGFR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可逆性下降（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>&lt; 30%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）通常不是停止治疗的指征。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</w:p>
          <w:p w14:paraId="7F53FFAD" w14:textId="77777777" w:rsidR="00615F46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right="166"/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当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>eGFR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低于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>20 ml/min/1.73m²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时，继续治疗是合理的。除非患者无法耐受或开始肾脏替代治疗。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</w:p>
          <w:p w14:paraId="4A7A9C77" w14:textId="54847F91" w:rsidR="000A29F4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left="0" w:right="166"/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长期禁食、重病、急性不良反应处理期间或手术前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48-72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小时内禁用；制定重启计划。</w:t>
            </w:r>
          </w:p>
        </w:tc>
      </w:tr>
      <w:tr w:rsidR="000A29F4" w14:paraId="533E083E" w14:textId="77777777">
        <w:trPr>
          <w:trHeight w:val="1863"/>
        </w:trPr>
        <w:tc>
          <w:tcPr>
            <w:tcW w:w="2070" w:type="dxa"/>
          </w:tcPr>
          <w:p w14:paraId="3C5A8D42" w14:textId="5716FB59" w:rsidR="000A29F4" w:rsidRDefault="00615F46">
            <w:pPr>
              <w:pStyle w:val="TableParagraph"/>
              <w:spacing w:line="253" w:lineRule="exact"/>
              <w:ind w:left="90"/>
              <w:rPr>
                <w:sz w:val="17"/>
                <w:lang w:eastAsia="zh-CN"/>
              </w:rPr>
            </w:pP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恩格列净，片剂：</w:t>
            </w:r>
            <w:r w:rsidRPr="00615F46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>10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片、</w:t>
            </w:r>
            <w:r w:rsidRPr="00615F46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>25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毫克</w:t>
            </w:r>
          </w:p>
        </w:tc>
        <w:tc>
          <w:tcPr>
            <w:tcW w:w="1890" w:type="dxa"/>
          </w:tcPr>
          <w:p w14:paraId="78E9E1FB" w14:textId="77777777" w:rsidR="000A29F4" w:rsidRDefault="00EA019F">
            <w:pPr>
              <w:pStyle w:val="TableParagraph"/>
              <w:spacing w:before="82" w:line="199" w:lineRule="auto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每日一次口服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10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（慢性肾病试验剂量）</w:t>
            </w:r>
            <w:hyperlink w:anchor="_bookmark5" w:history="1">
              <w:r>
                <w:rPr>
                  <w:color w:val="231F20"/>
                  <w:w w:val="95"/>
                  <w:position w:val="6"/>
                  <w:sz w:val="10"/>
                  <w:lang w:eastAsia="zh-CN"/>
                </w:rPr>
                <w:t>2</w:t>
              </w:r>
            </w:hyperlink>
          </w:p>
        </w:tc>
        <w:tc>
          <w:tcPr>
            <w:tcW w:w="810" w:type="dxa"/>
          </w:tcPr>
          <w:p w14:paraId="3F8F658D" w14:textId="2013256C" w:rsidR="000A29F4" w:rsidRDefault="000A29F4">
            <w:pPr>
              <w:pStyle w:val="TableParagraph"/>
              <w:spacing w:before="50"/>
              <w:ind w:left="90"/>
              <w:rPr>
                <w:sz w:val="17"/>
              </w:rPr>
            </w:pPr>
          </w:p>
        </w:tc>
        <w:tc>
          <w:tcPr>
            <w:tcW w:w="1260" w:type="dxa"/>
          </w:tcPr>
          <w:p w14:paraId="7B37A65D" w14:textId="0C51255D" w:rsidR="000A29F4" w:rsidRDefault="000A29F4">
            <w:pPr>
              <w:pStyle w:val="TableParagraph"/>
              <w:spacing w:before="82" w:line="199" w:lineRule="auto"/>
              <w:ind w:right="252"/>
              <w:rPr>
                <w:sz w:val="17"/>
                <w:lang w:eastAsia="zh-CN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20F63D51" w14:textId="77777777" w:rsidR="000A29F4" w:rsidRDefault="000A29F4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219B05E6" w14:textId="77777777" w:rsidR="000A29F4" w:rsidRDefault="000A29F4">
            <w:pPr>
              <w:rPr>
                <w:sz w:val="2"/>
                <w:szCs w:val="2"/>
                <w:lang w:eastAsia="zh-CN"/>
              </w:rPr>
            </w:pPr>
          </w:p>
        </w:tc>
      </w:tr>
      <w:tr w:rsidR="000A29F4" w14:paraId="18525614" w14:textId="77777777">
        <w:trPr>
          <w:trHeight w:val="1356"/>
        </w:trPr>
        <w:tc>
          <w:tcPr>
            <w:tcW w:w="2070" w:type="dxa"/>
          </w:tcPr>
          <w:p w14:paraId="177878CF" w14:textId="79FD4F64" w:rsidR="000A29F4" w:rsidRDefault="00615F46">
            <w:pPr>
              <w:pStyle w:val="TableParagraph"/>
              <w:spacing w:line="253" w:lineRule="exact"/>
              <w:ind w:left="90"/>
              <w:rPr>
                <w:sz w:val="17"/>
                <w:lang w:eastAsia="zh-CN"/>
              </w:rPr>
            </w:pPr>
            <w:r w:rsidRPr="00615F46">
              <w:rPr>
                <w:rFonts w:ascii="Arial Black" w:eastAsia="宋体" w:hint="eastAsia"/>
                <w:color w:val="231F20"/>
                <w:spacing w:val="-2"/>
                <w:w w:val="90"/>
                <w:sz w:val="17"/>
                <w:lang w:eastAsia="zh-CN"/>
              </w:rPr>
              <w:t>卡格列净，片剂：</w:t>
            </w:r>
            <w:r w:rsidRPr="00615F46"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>100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0"/>
                <w:sz w:val="17"/>
                <w:lang w:eastAsia="zh-CN"/>
              </w:rPr>
              <w:t>毫克、</w:t>
            </w:r>
            <w:r w:rsidRPr="00615F46"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>300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0"/>
                <w:sz w:val="17"/>
                <w:lang w:eastAsia="zh-CN"/>
              </w:rPr>
              <w:t>毫克</w:t>
            </w:r>
          </w:p>
        </w:tc>
        <w:tc>
          <w:tcPr>
            <w:tcW w:w="1890" w:type="dxa"/>
          </w:tcPr>
          <w:p w14:paraId="03BF6A61" w14:textId="77777777" w:rsidR="000A29F4" w:rsidRDefault="00EA019F">
            <w:pPr>
              <w:pStyle w:val="TableParagraph"/>
              <w:spacing w:before="82" w:line="199" w:lineRule="auto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每天一次口服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100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（慢性肾病试验剂量）</w:t>
            </w:r>
            <w:hyperlink w:anchor="_bookmark6" w:history="1">
              <w:r>
                <w:rPr>
                  <w:color w:val="231F20"/>
                  <w:w w:val="95"/>
                  <w:position w:val="6"/>
                  <w:sz w:val="10"/>
                  <w:lang w:eastAsia="zh-CN"/>
                </w:rPr>
                <w:t>3</w:t>
              </w:r>
            </w:hyperlink>
          </w:p>
        </w:tc>
        <w:tc>
          <w:tcPr>
            <w:tcW w:w="810" w:type="dxa"/>
          </w:tcPr>
          <w:p w14:paraId="6160C229" w14:textId="2CBEA571" w:rsidR="000A29F4" w:rsidRDefault="000A29F4">
            <w:pPr>
              <w:pStyle w:val="TableParagraph"/>
              <w:spacing w:before="50"/>
              <w:ind w:left="90"/>
              <w:rPr>
                <w:sz w:val="17"/>
              </w:rPr>
            </w:pPr>
          </w:p>
        </w:tc>
        <w:tc>
          <w:tcPr>
            <w:tcW w:w="1260" w:type="dxa"/>
          </w:tcPr>
          <w:p w14:paraId="58057E34" w14:textId="198F6266" w:rsidR="000A29F4" w:rsidRDefault="000A29F4">
            <w:pPr>
              <w:pStyle w:val="TableParagraph"/>
              <w:spacing w:before="50"/>
              <w:ind w:left="90"/>
              <w:rPr>
                <w:sz w:val="17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65C76C87" w14:textId="77777777" w:rsidR="000A29F4" w:rsidRDefault="000A29F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2E9B5681" w14:textId="77777777" w:rsidR="000A29F4" w:rsidRDefault="000A29F4">
            <w:pPr>
              <w:rPr>
                <w:sz w:val="2"/>
                <w:szCs w:val="2"/>
              </w:rPr>
            </w:pPr>
          </w:p>
        </w:tc>
      </w:tr>
    </w:tbl>
    <w:p w14:paraId="29BCEE1F" w14:textId="77777777" w:rsidR="000A29F4" w:rsidRDefault="000A29F4">
      <w:pPr>
        <w:pStyle w:val="a3"/>
        <w:rPr>
          <w:rFonts w:ascii="Arial Black"/>
          <w:sz w:val="20"/>
        </w:rPr>
      </w:pPr>
    </w:p>
    <w:p w14:paraId="5007DF39" w14:textId="77777777" w:rsidR="000A29F4" w:rsidRDefault="000A29F4">
      <w:pPr>
        <w:pStyle w:val="a3"/>
        <w:rPr>
          <w:rFonts w:ascii="Arial Black"/>
          <w:sz w:val="20"/>
        </w:rPr>
      </w:pPr>
    </w:p>
    <w:p w14:paraId="590B5DE1" w14:textId="77777777" w:rsidR="000A29F4" w:rsidRDefault="000A29F4">
      <w:pPr>
        <w:pStyle w:val="a3"/>
        <w:rPr>
          <w:rFonts w:ascii="Arial Black"/>
          <w:sz w:val="20"/>
        </w:rPr>
      </w:pPr>
    </w:p>
    <w:p w14:paraId="241D6837" w14:textId="77777777" w:rsidR="000A29F4" w:rsidRDefault="000A29F4">
      <w:pPr>
        <w:pStyle w:val="a3"/>
        <w:rPr>
          <w:rFonts w:ascii="Arial Black"/>
          <w:sz w:val="20"/>
        </w:rPr>
      </w:pPr>
    </w:p>
    <w:p w14:paraId="1733D9E7" w14:textId="77777777" w:rsidR="000A29F4" w:rsidRDefault="000A29F4">
      <w:pPr>
        <w:pStyle w:val="a3"/>
        <w:rPr>
          <w:rFonts w:ascii="Arial Black"/>
          <w:sz w:val="20"/>
        </w:rPr>
      </w:pPr>
    </w:p>
    <w:p w14:paraId="3B3B372E" w14:textId="77777777" w:rsidR="000A29F4" w:rsidRDefault="000A29F4">
      <w:pPr>
        <w:pStyle w:val="a3"/>
        <w:rPr>
          <w:rFonts w:ascii="Arial Black"/>
          <w:sz w:val="20"/>
        </w:rPr>
      </w:pPr>
    </w:p>
    <w:p w14:paraId="69C0A564" w14:textId="77777777" w:rsidR="000A29F4" w:rsidRDefault="000A29F4">
      <w:pPr>
        <w:pStyle w:val="a3"/>
        <w:rPr>
          <w:rFonts w:ascii="Arial Black"/>
          <w:sz w:val="20"/>
        </w:rPr>
      </w:pPr>
    </w:p>
    <w:p w14:paraId="1E95EAAF" w14:textId="77777777" w:rsidR="000A29F4" w:rsidRDefault="000A29F4">
      <w:pPr>
        <w:pStyle w:val="a3"/>
        <w:rPr>
          <w:rFonts w:ascii="Arial Black"/>
          <w:sz w:val="20"/>
        </w:rPr>
      </w:pPr>
    </w:p>
    <w:p w14:paraId="785910FD" w14:textId="77777777" w:rsidR="000A29F4" w:rsidRDefault="000A29F4">
      <w:pPr>
        <w:pStyle w:val="a3"/>
        <w:rPr>
          <w:rFonts w:ascii="Arial Black"/>
          <w:sz w:val="20"/>
        </w:rPr>
      </w:pPr>
    </w:p>
    <w:p w14:paraId="0BEDBCD0" w14:textId="77777777" w:rsidR="000A29F4" w:rsidRDefault="000A29F4">
      <w:pPr>
        <w:pStyle w:val="a3"/>
        <w:rPr>
          <w:rFonts w:ascii="Arial Black"/>
          <w:sz w:val="20"/>
        </w:rPr>
      </w:pPr>
    </w:p>
    <w:p w14:paraId="3A7137A0" w14:textId="77777777" w:rsidR="000A29F4" w:rsidRDefault="000A29F4">
      <w:pPr>
        <w:pStyle w:val="a3"/>
        <w:rPr>
          <w:rFonts w:ascii="Arial Black"/>
          <w:sz w:val="20"/>
        </w:rPr>
      </w:pPr>
    </w:p>
    <w:p w14:paraId="246FDA94" w14:textId="77777777" w:rsidR="000A29F4" w:rsidRDefault="000A29F4">
      <w:pPr>
        <w:pStyle w:val="a3"/>
        <w:rPr>
          <w:rFonts w:ascii="Arial Black"/>
          <w:sz w:val="20"/>
        </w:rPr>
      </w:pPr>
    </w:p>
    <w:p w14:paraId="7221375B" w14:textId="77777777" w:rsidR="000A29F4" w:rsidRDefault="000A29F4">
      <w:pPr>
        <w:pStyle w:val="a3"/>
        <w:rPr>
          <w:rFonts w:ascii="Arial Black"/>
          <w:sz w:val="20"/>
        </w:rPr>
      </w:pPr>
    </w:p>
    <w:p w14:paraId="7F5584DB" w14:textId="77777777" w:rsidR="000A29F4" w:rsidRDefault="000A29F4">
      <w:pPr>
        <w:pStyle w:val="a3"/>
        <w:rPr>
          <w:rFonts w:ascii="Arial Black"/>
          <w:sz w:val="20"/>
        </w:rPr>
      </w:pPr>
    </w:p>
    <w:p w14:paraId="0ED6CDDB" w14:textId="77777777" w:rsidR="000A29F4" w:rsidRDefault="000A29F4">
      <w:pPr>
        <w:pStyle w:val="a3"/>
        <w:rPr>
          <w:rFonts w:ascii="Arial Black"/>
          <w:sz w:val="20"/>
        </w:rPr>
      </w:pPr>
    </w:p>
    <w:p w14:paraId="61A40D9E" w14:textId="77777777" w:rsidR="000A29F4" w:rsidRDefault="000A29F4">
      <w:pPr>
        <w:pStyle w:val="a3"/>
        <w:rPr>
          <w:rFonts w:ascii="Arial Black"/>
          <w:sz w:val="20"/>
        </w:rPr>
      </w:pPr>
    </w:p>
    <w:p w14:paraId="6DAB560A" w14:textId="77777777" w:rsidR="000A29F4" w:rsidRDefault="000A29F4">
      <w:pPr>
        <w:pStyle w:val="a3"/>
        <w:rPr>
          <w:rFonts w:ascii="Arial Black"/>
          <w:sz w:val="20"/>
        </w:rPr>
      </w:pPr>
    </w:p>
    <w:p w14:paraId="6110B032" w14:textId="77777777" w:rsidR="000A29F4" w:rsidRDefault="000A29F4">
      <w:pPr>
        <w:pStyle w:val="a3"/>
        <w:rPr>
          <w:rFonts w:ascii="Arial Black"/>
          <w:sz w:val="20"/>
        </w:rPr>
      </w:pPr>
    </w:p>
    <w:p w14:paraId="58446406" w14:textId="4ECB5A8F" w:rsidR="000A29F4" w:rsidRDefault="000A29F4">
      <w:pPr>
        <w:pStyle w:val="a3"/>
        <w:rPr>
          <w:rFonts w:ascii="Arial Black"/>
          <w:sz w:val="20"/>
        </w:rPr>
      </w:pPr>
    </w:p>
    <w:p w14:paraId="6A5E0A45" w14:textId="34BCEF9B" w:rsidR="00615F46" w:rsidRDefault="00615F46">
      <w:pPr>
        <w:pStyle w:val="a3"/>
        <w:rPr>
          <w:rFonts w:ascii="Arial Black"/>
          <w:sz w:val="20"/>
        </w:rPr>
      </w:pPr>
    </w:p>
    <w:p w14:paraId="4F40CE6C" w14:textId="043BD928" w:rsidR="00615F46" w:rsidRDefault="00615F46">
      <w:pPr>
        <w:pStyle w:val="a3"/>
        <w:rPr>
          <w:rFonts w:ascii="Arial Black"/>
          <w:sz w:val="20"/>
        </w:rPr>
      </w:pPr>
    </w:p>
    <w:p w14:paraId="070697CB" w14:textId="22FA0C6E" w:rsidR="00615F46" w:rsidRDefault="00615F46">
      <w:pPr>
        <w:pStyle w:val="a3"/>
        <w:rPr>
          <w:rFonts w:ascii="Arial Black"/>
          <w:sz w:val="20"/>
        </w:rPr>
      </w:pPr>
    </w:p>
    <w:p w14:paraId="6DBBAEF3" w14:textId="54339C0F" w:rsidR="00615F46" w:rsidRDefault="00615F46">
      <w:pPr>
        <w:pStyle w:val="a3"/>
        <w:rPr>
          <w:rFonts w:ascii="Arial Black"/>
          <w:sz w:val="20"/>
        </w:rPr>
      </w:pPr>
    </w:p>
    <w:p w14:paraId="5AF6C7FC" w14:textId="77777777" w:rsidR="00615F46" w:rsidRDefault="00615F46">
      <w:pPr>
        <w:pStyle w:val="a3"/>
        <w:rPr>
          <w:rFonts w:ascii="Arial Black"/>
          <w:sz w:val="20"/>
        </w:rPr>
      </w:pPr>
    </w:p>
    <w:p w14:paraId="52BE2FAB" w14:textId="77777777" w:rsidR="000A29F4" w:rsidRDefault="000A29F4">
      <w:pPr>
        <w:pStyle w:val="a3"/>
        <w:rPr>
          <w:rFonts w:ascii="Arial Black"/>
          <w:sz w:val="20"/>
        </w:rPr>
      </w:pPr>
    </w:p>
    <w:p w14:paraId="653785C4" w14:textId="77777777" w:rsidR="000A29F4" w:rsidRDefault="00EA019F">
      <w:pPr>
        <w:pStyle w:val="a3"/>
        <w:spacing w:before="95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79AA87" wp14:editId="078FEDAA">
                <wp:simplePos x="0" y="0"/>
                <wp:positionH relativeFrom="page">
                  <wp:posOffset>457200</wp:posOffset>
                </wp:positionH>
                <wp:positionV relativeFrom="paragraph">
                  <wp:posOffset>254654</wp:posOffset>
                </wp:positionV>
                <wp:extent cx="6858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A2E82" id="Graphic 41" o:spid="_x0000_s1026" style="position:absolute;left:0;text-align:left;margin-left:36pt;margin-top:20.05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" path="m,l68580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1E139775" w14:textId="77777777" w:rsidR="000A29F4" w:rsidRDefault="000A29F4">
      <w:pPr>
        <w:pStyle w:val="a3"/>
        <w:rPr>
          <w:rFonts w:ascii="Arial Black"/>
          <w:sz w:val="20"/>
        </w:rPr>
        <w:sectPr w:rsidR="000A29F4">
          <w:footerReference w:type="default" r:id="rId7"/>
          <w:type w:val="continuous"/>
          <w:pgSz w:w="12240" w:h="15840"/>
          <w:pgMar w:top="700" w:right="360" w:bottom="420" w:left="720" w:header="0" w:footer="232" w:gutter="0"/>
          <w:pgNumType w:start="1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298EC1"/>
          <w:left w:val="single" w:sz="4" w:space="0" w:color="298EC1"/>
          <w:bottom w:val="single" w:sz="4" w:space="0" w:color="298EC1"/>
          <w:right w:val="single" w:sz="4" w:space="0" w:color="298EC1"/>
          <w:insideH w:val="single" w:sz="4" w:space="0" w:color="298EC1"/>
          <w:insideV w:val="single" w:sz="4" w:space="0" w:color="298EC1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890"/>
        <w:gridCol w:w="810"/>
        <w:gridCol w:w="1260"/>
        <w:gridCol w:w="1710"/>
        <w:gridCol w:w="3060"/>
      </w:tblGrid>
      <w:tr w:rsidR="000A29F4" w14:paraId="77548D58" w14:textId="77777777">
        <w:trPr>
          <w:trHeight w:val="783"/>
        </w:trPr>
        <w:tc>
          <w:tcPr>
            <w:tcW w:w="2070" w:type="dxa"/>
            <w:shd w:val="clear" w:color="auto" w:fill="D3E0EE"/>
          </w:tcPr>
          <w:p w14:paraId="70A62284" w14:textId="5D89733D" w:rsidR="000A29F4" w:rsidRDefault="00615F46">
            <w:pPr>
              <w:pStyle w:val="TableParagraph"/>
              <w:spacing w:before="49"/>
              <w:ind w:left="10"/>
              <w:jc w:val="center"/>
              <w:rPr>
                <w:rFonts w:ascii="Arial Black"/>
                <w:sz w:val="17"/>
              </w:rPr>
            </w:pPr>
            <w:r>
              <w:rPr>
                <w:rFonts w:ascii="Arial Black" w:eastAsia="宋体" w:hint="eastAsia"/>
                <w:color w:val="231F20"/>
                <w:w w:val="80"/>
                <w:sz w:val="17"/>
                <w:lang w:eastAsia="zh-CN"/>
              </w:rPr>
              <w:lastRenderedPageBreak/>
              <w:t>药</w:t>
            </w:r>
            <w:r w:rsidR="00EA019F">
              <w:rPr>
                <w:rFonts w:ascii="Arial Black" w:eastAsia="宋体"/>
                <w:color w:val="231F20"/>
                <w:w w:val="80"/>
                <w:sz w:val="17"/>
              </w:rPr>
              <w:t xml:space="preserve"> </w:t>
            </w:r>
            <w:r w:rsidR="00EA019F">
              <w:rPr>
                <w:rFonts w:ascii="Arial Black" w:eastAsia="宋体"/>
                <w:color w:val="231F20"/>
                <w:spacing w:val="-4"/>
                <w:w w:val="90"/>
                <w:sz w:val="17"/>
              </w:rPr>
              <w:t>名</w:t>
            </w:r>
          </w:p>
          <w:p w14:paraId="49D49A1C" w14:textId="77777777" w:rsidR="000A29F4" w:rsidRDefault="00EA019F">
            <w:pPr>
              <w:pStyle w:val="TableParagraph"/>
              <w:spacing w:line="253" w:lineRule="exact"/>
              <w:ind w:left="10"/>
              <w:jc w:val="center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w w:val="85"/>
                <w:sz w:val="17"/>
              </w:rPr>
              <w:t>剂型与浓度</w:t>
            </w:r>
            <w:proofErr w:type="spellEnd"/>
          </w:p>
        </w:tc>
        <w:tc>
          <w:tcPr>
            <w:tcW w:w="1890" w:type="dxa"/>
            <w:shd w:val="clear" w:color="auto" w:fill="D3E0EE"/>
          </w:tcPr>
          <w:p w14:paraId="7C2905BA" w14:textId="177375F5" w:rsidR="000A29F4" w:rsidRDefault="00EA019F">
            <w:pPr>
              <w:pStyle w:val="TableParagraph"/>
              <w:spacing w:before="68" w:line="216" w:lineRule="auto"/>
              <w:ind w:left="120" w:firstLine="253"/>
              <w:rPr>
                <w:position w:val="6"/>
                <w:sz w:val="10"/>
              </w:rPr>
            </w:pPr>
            <w:proofErr w:type="spellStart"/>
            <w:r>
              <w:rPr>
                <w:rFonts w:ascii="Arial Black" w:eastAsia="宋体"/>
                <w:color w:val="231F20"/>
                <w:spacing w:val="-2"/>
                <w:w w:val="90"/>
                <w:sz w:val="17"/>
              </w:rPr>
              <w:t>推荐</w:t>
            </w:r>
            <w:r>
              <w:rPr>
                <w:rFonts w:ascii="Arial Black" w:eastAsia="宋体"/>
                <w:color w:val="231F20"/>
                <w:w w:val="80"/>
                <w:sz w:val="17"/>
              </w:rPr>
              <w:t>剂量</w:t>
            </w:r>
            <w:proofErr w:type="spellEnd"/>
            <w:r w:rsidR="00C80D18">
              <w:fldChar w:fldCharType="begin"/>
            </w:r>
            <w:r w:rsidR="00C80D18">
              <w:instrText xml:space="preserve"> HYPERLINK \l "_bookmark0" </w:instrText>
            </w:r>
            <w:r w:rsidR="00C80D18">
              <w:fldChar w:fldCharType="separate"/>
            </w:r>
            <w:r>
              <w:rPr>
                <w:color w:val="231F20"/>
                <w:w w:val="80"/>
                <w:position w:val="6"/>
                <w:sz w:val="10"/>
              </w:rPr>
              <w:t>A</w:t>
            </w:r>
            <w:r w:rsidR="00C80D18">
              <w:rPr>
                <w:color w:val="231F20"/>
                <w:w w:val="80"/>
                <w:position w:val="6"/>
                <w:sz w:val="10"/>
              </w:rPr>
              <w:fldChar w:fldCharType="end"/>
            </w:r>
          </w:p>
        </w:tc>
        <w:tc>
          <w:tcPr>
            <w:tcW w:w="810" w:type="dxa"/>
            <w:shd w:val="clear" w:color="auto" w:fill="D3E0EE"/>
          </w:tcPr>
          <w:p w14:paraId="4CCD9D71" w14:textId="438BE2B8" w:rsidR="000A29F4" w:rsidRDefault="000A29F4">
            <w:pPr>
              <w:pStyle w:val="TableParagraph"/>
              <w:spacing w:before="68" w:line="216" w:lineRule="auto"/>
              <w:ind w:right="77" w:firstLine="19"/>
              <w:jc w:val="both"/>
              <w:rPr>
                <w:position w:val="6"/>
                <w:sz w:val="10"/>
              </w:rPr>
            </w:pPr>
          </w:p>
        </w:tc>
        <w:tc>
          <w:tcPr>
            <w:tcW w:w="1260" w:type="dxa"/>
            <w:shd w:val="clear" w:color="auto" w:fill="D3E0EE"/>
          </w:tcPr>
          <w:p w14:paraId="071DCF0C" w14:textId="4380E988" w:rsidR="000A29F4" w:rsidRDefault="000A29F4">
            <w:pPr>
              <w:pStyle w:val="TableParagraph"/>
              <w:spacing w:before="68" w:line="216" w:lineRule="auto"/>
              <w:ind w:left="240" w:hanging="85"/>
              <w:rPr>
                <w:position w:val="6"/>
                <w:sz w:val="10"/>
              </w:rPr>
            </w:pPr>
          </w:p>
        </w:tc>
        <w:tc>
          <w:tcPr>
            <w:tcW w:w="1710" w:type="dxa"/>
            <w:shd w:val="clear" w:color="auto" w:fill="D3E0EE"/>
          </w:tcPr>
          <w:p w14:paraId="1D9CAE6B" w14:textId="68857E4A" w:rsidR="000A29F4" w:rsidRDefault="00EA019F">
            <w:pPr>
              <w:pStyle w:val="TableParagraph"/>
              <w:spacing w:before="49"/>
              <w:ind w:left="237"/>
              <w:rPr>
                <w:position w:val="6"/>
                <w:sz w:val="10"/>
              </w:rPr>
            </w:pPr>
            <w:proofErr w:type="spellStart"/>
            <w:r>
              <w:rPr>
                <w:rFonts w:ascii="Arial Black" w:eastAsia="宋体"/>
                <w:color w:val="231F20"/>
                <w:w w:val="80"/>
                <w:sz w:val="17"/>
              </w:rPr>
              <w:t>不良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</w:rPr>
              <w:t>反应</w:t>
            </w:r>
            <w:proofErr w:type="spellEnd"/>
            <w:r w:rsidR="00C80D18">
              <w:fldChar w:fldCharType="begin"/>
            </w:r>
            <w:r w:rsidR="00C80D18">
              <w:instrText xml:space="preserve"> HYPERLINK \l "_bookmark1" </w:instrText>
            </w:r>
            <w:r w:rsidR="00C80D18">
              <w:fldChar w:fldCharType="separate"/>
            </w:r>
            <w:r w:rsidR="00C80D18">
              <w:fldChar w:fldCharType="end"/>
            </w:r>
          </w:p>
        </w:tc>
        <w:tc>
          <w:tcPr>
            <w:tcW w:w="3060" w:type="dxa"/>
            <w:shd w:val="clear" w:color="auto" w:fill="D3E0EE"/>
          </w:tcPr>
          <w:p w14:paraId="1EDBF50C" w14:textId="23DD2B86" w:rsidR="000A29F4" w:rsidRDefault="00EA019F">
            <w:pPr>
              <w:pStyle w:val="TableParagraph"/>
              <w:spacing w:before="68" w:line="216" w:lineRule="auto"/>
              <w:ind w:left="346" w:right="334" w:hanging="1"/>
              <w:jc w:val="center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药物相互作用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"_bookmark1" </w:instrText>
            </w:r>
            <w:r w:rsidR="00C80D18">
              <w:fldChar w:fldCharType="separate"/>
            </w:r>
            <w:r w:rsidR="00C80D18">
              <w:fldChar w:fldCharType="end"/>
            </w: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及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慢性肾病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>的治疗考虑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 xml:space="preserve"> </w:t>
            </w:r>
          </w:p>
        </w:tc>
      </w:tr>
      <w:tr w:rsidR="000A29F4" w14:paraId="0EA82185" w14:textId="77777777">
        <w:trPr>
          <w:trHeight w:val="567"/>
        </w:trPr>
        <w:tc>
          <w:tcPr>
            <w:tcW w:w="10800" w:type="dxa"/>
            <w:gridSpan w:val="6"/>
          </w:tcPr>
          <w:p w14:paraId="01BF6DD2" w14:textId="77777777" w:rsidR="000A29F4" w:rsidRDefault="00EA019F">
            <w:pPr>
              <w:pStyle w:val="TableParagraph"/>
              <w:spacing w:before="49" w:line="228" w:lineRule="exact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血管紧张素转化酶抑制剂（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ACE-I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）</w:t>
            </w:r>
          </w:p>
          <w:p w14:paraId="27E4C6B7" w14:textId="71FD3205" w:rsidR="000A29F4" w:rsidRDefault="000A29F4">
            <w:pPr>
              <w:pStyle w:val="TableParagraph"/>
              <w:spacing w:line="250" w:lineRule="exact"/>
              <w:rPr>
                <w:sz w:val="17"/>
              </w:rPr>
            </w:pPr>
          </w:p>
        </w:tc>
      </w:tr>
      <w:tr w:rsidR="000A29F4" w14:paraId="665CC0E5" w14:textId="77777777">
        <w:trPr>
          <w:trHeight w:val="1863"/>
        </w:trPr>
        <w:tc>
          <w:tcPr>
            <w:tcW w:w="2070" w:type="dxa"/>
          </w:tcPr>
          <w:p w14:paraId="1CC50847" w14:textId="326E6645" w:rsidR="000A29F4" w:rsidRDefault="00615F46">
            <w:pPr>
              <w:pStyle w:val="TableParagraph"/>
              <w:spacing w:line="239" w:lineRule="exact"/>
              <w:rPr>
                <w:sz w:val="17"/>
                <w:lang w:eastAsia="zh-CN"/>
              </w:rPr>
            </w:pP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雷米普利，片剂：</w:t>
            </w:r>
            <w:r w:rsidRPr="00615F46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>1.25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、</w:t>
            </w:r>
            <w:r w:rsidRPr="00615F46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>2.5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、</w:t>
            </w:r>
            <w:r w:rsidRPr="00615F46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>5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、</w:t>
            </w:r>
            <w:r w:rsidRPr="00615F46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>1015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毫克</w:t>
            </w:r>
          </w:p>
        </w:tc>
        <w:tc>
          <w:tcPr>
            <w:tcW w:w="1890" w:type="dxa"/>
          </w:tcPr>
          <w:p w14:paraId="4DDB49B0" w14:textId="77777777" w:rsidR="000A29F4" w:rsidRDefault="00EA019F">
            <w:pPr>
              <w:pStyle w:val="TableParagraph"/>
              <w:spacing w:before="81" w:line="199" w:lineRule="auto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>初始剂量：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每天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一次口服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2.5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 xml:space="preserve"> </w:t>
            </w:r>
          </w:p>
          <w:p w14:paraId="70A6B0C3" w14:textId="77777777" w:rsidR="000A29F4" w:rsidRDefault="00EA019F">
            <w:pPr>
              <w:pStyle w:val="TableParagraph"/>
              <w:spacing w:line="199" w:lineRule="auto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常规：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每天一次口服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2.5 - 10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 xml:space="preserve"> </w:t>
            </w:r>
          </w:p>
          <w:p w14:paraId="45D82226" w14:textId="77777777" w:rsidR="000A29F4" w:rsidRDefault="00EA019F">
            <w:pPr>
              <w:pStyle w:val="TableParagraph"/>
              <w:spacing w:line="228" w:lineRule="exact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>最大剂量：</w:t>
            </w: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每天口服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20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</w:t>
            </w:r>
          </w:p>
        </w:tc>
        <w:tc>
          <w:tcPr>
            <w:tcW w:w="810" w:type="dxa"/>
          </w:tcPr>
          <w:p w14:paraId="0FA2E8A5" w14:textId="32C19054" w:rsidR="000A29F4" w:rsidRDefault="000A29F4">
            <w:pPr>
              <w:pStyle w:val="TableParagraph"/>
              <w:spacing w:before="51"/>
              <w:rPr>
                <w:sz w:val="17"/>
              </w:rPr>
            </w:pPr>
          </w:p>
        </w:tc>
        <w:tc>
          <w:tcPr>
            <w:tcW w:w="1260" w:type="dxa"/>
          </w:tcPr>
          <w:p w14:paraId="2A61380E" w14:textId="1974D950" w:rsidR="000A29F4" w:rsidRDefault="000A29F4">
            <w:pPr>
              <w:pStyle w:val="TableParagraph"/>
              <w:spacing w:before="212" w:line="199" w:lineRule="auto"/>
              <w:ind w:right="250"/>
              <w:rPr>
                <w:sz w:val="17"/>
              </w:rPr>
            </w:pPr>
          </w:p>
        </w:tc>
        <w:tc>
          <w:tcPr>
            <w:tcW w:w="1710" w:type="dxa"/>
            <w:vMerge w:val="restart"/>
          </w:tcPr>
          <w:p w14:paraId="6EB02801" w14:textId="77777777" w:rsidR="000A29F4" w:rsidRDefault="00EA019F">
            <w:pPr>
              <w:pStyle w:val="TableParagraph"/>
              <w:spacing w:before="51" w:line="239" w:lineRule="exact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常见</w:t>
            </w:r>
          </w:p>
          <w:p w14:paraId="76FBB408" w14:textId="77777777" w:rsidR="000A29F4" w:rsidRDefault="00EA019F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干咳（</w:t>
            </w:r>
            <w:r>
              <w:rPr>
                <w:rFonts w:eastAsia="宋体"/>
                <w:color w:val="231F20"/>
                <w:w w:val="85"/>
                <w:sz w:val="17"/>
              </w:rPr>
              <w:t>8-12%</w:t>
            </w:r>
            <w:r>
              <w:rPr>
                <w:rFonts w:eastAsia="宋体"/>
                <w:color w:val="231F20"/>
                <w:w w:val="85"/>
                <w:sz w:val="17"/>
              </w:rPr>
              <w:t>）</w:t>
            </w:r>
          </w:p>
          <w:p w14:paraId="313698E8" w14:textId="77777777" w:rsidR="000A29F4" w:rsidRDefault="00EA019F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spacing w:line="239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高钾血症</w:t>
            </w:r>
          </w:p>
          <w:p w14:paraId="1694DBD1" w14:textId="77777777" w:rsidR="000A29F4" w:rsidRDefault="00EA019F">
            <w:pPr>
              <w:pStyle w:val="TableParagraph"/>
              <w:spacing w:before="171" w:line="239" w:lineRule="exact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较少</w:t>
            </w:r>
            <w:r>
              <w:rPr>
                <w:rFonts w:eastAsia="宋体"/>
                <w:color w:val="231F20"/>
                <w:w w:val="85"/>
                <w:sz w:val="17"/>
              </w:rPr>
              <w:t xml:space="preserve"> </w:t>
            </w:r>
            <w:r>
              <w:rPr>
                <w:rFonts w:eastAsia="宋体"/>
                <w:color w:val="231F20"/>
                <w:spacing w:val="-2"/>
                <w:sz w:val="17"/>
              </w:rPr>
              <w:t>见</w:t>
            </w:r>
          </w:p>
          <w:p w14:paraId="67C1AB1A" w14:textId="77777777" w:rsidR="000A29F4" w:rsidRDefault="00EA019F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血管性水肿</w:t>
            </w:r>
          </w:p>
          <w:p w14:paraId="0BCDFDE8" w14:textId="77777777" w:rsidR="000A29F4" w:rsidRDefault="00EA019F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before="9" w:line="199" w:lineRule="auto"/>
              <w:ind w:right="321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肾</w:t>
            </w:r>
            <w:r>
              <w:rPr>
                <w:rFonts w:eastAsia="宋体"/>
                <w:color w:val="231F20"/>
                <w:w w:val="8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 xml:space="preserve"> </w:t>
            </w:r>
            <w:r>
              <w:rPr>
                <w:rFonts w:eastAsia="宋体"/>
                <w:color w:val="231F20"/>
                <w:w w:val="85"/>
                <w:sz w:val="17"/>
              </w:rPr>
              <w:t>衰竭患者的</w:t>
            </w: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降水</w:t>
            </w: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 xml:space="preserve"> </w:t>
            </w:r>
          </w:p>
          <w:p w14:paraId="7892719D" w14:textId="77777777" w:rsidR="000A29F4" w:rsidRDefault="00EA019F">
            <w:pPr>
              <w:pStyle w:val="TableParagraph"/>
              <w:spacing w:line="199" w:lineRule="auto"/>
              <w:ind w:left="269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疾病、体积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sz w:val="17"/>
                <w:lang w:eastAsia="zh-CN"/>
              </w:rPr>
              <w:t>耗竭或同时使用非</w:t>
            </w:r>
            <w:proofErr w:type="gramStart"/>
            <w:r>
              <w:rPr>
                <w:rFonts w:eastAsia="宋体"/>
                <w:color w:val="231F20"/>
                <w:sz w:val="17"/>
                <w:lang w:eastAsia="zh-CN"/>
              </w:rPr>
              <w:t>甾</w:t>
            </w:r>
            <w:proofErr w:type="gramEnd"/>
            <w:r>
              <w:rPr>
                <w:rFonts w:eastAsia="宋体"/>
                <w:color w:val="231F20"/>
                <w:sz w:val="17"/>
                <w:lang w:eastAsia="zh-CN"/>
              </w:rPr>
              <w:t>体抗炎药</w:t>
            </w:r>
          </w:p>
        </w:tc>
        <w:tc>
          <w:tcPr>
            <w:tcW w:w="3060" w:type="dxa"/>
            <w:vMerge w:val="restart"/>
          </w:tcPr>
          <w:p w14:paraId="3AFFE29D" w14:textId="77777777" w:rsidR="00615F46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right="166"/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使用患者能够耐受的最高批准剂量来控制血压。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</w:p>
          <w:p w14:paraId="05A57290" w14:textId="77777777" w:rsidR="00615F46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right="166"/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患有慢性肾病（无论是否伴有糖尿病）的人应避免同时使用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>ACE-I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、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>ARB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和直接肾素抑制剂。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</w:p>
          <w:p w14:paraId="3728A367" w14:textId="77777777" w:rsidR="00615F46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right="166"/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开始治疗或增加剂量后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2-4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周内检查血压、血清肌</w:t>
            </w:r>
            <w:proofErr w:type="gramStart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酐</w:t>
            </w:r>
            <w:proofErr w:type="gramEnd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和血清钾。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</w:p>
          <w:p w14:paraId="2D117CE3" w14:textId="77777777" w:rsidR="00615F46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right="166"/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高钾血症通常可以通过降低血清</w:t>
            </w:r>
            <w:proofErr w:type="gramStart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钾水平</w:t>
            </w:r>
            <w:proofErr w:type="gramEnd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的措施来控制，而不是减少或停止治疗（请参阅下面的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>“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钾异常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>”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部分）。</w:t>
            </w:r>
          </w:p>
          <w:p w14:paraId="12F0DB79" w14:textId="77777777" w:rsidR="00615F46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right="166"/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除非血清肌</w:t>
            </w:r>
            <w:proofErr w:type="gramStart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酐</w:t>
            </w:r>
            <w:proofErr w:type="gramEnd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在一段时间内升高超过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30%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，否则继续治疗开始治疗或增加剂量后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4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周。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即使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eGFR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低于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30ml/min/1.73m²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，继续治疗也是合理的。</w:t>
            </w:r>
          </w:p>
          <w:p w14:paraId="42EBAD1B" w14:textId="3D205D9D" w:rsidR="000A29F4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left="0" w:right="166"/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若出现症状性低血压或尽管接受药物治疗仍无法控制的高钾血症，或在治疗肾衰竭时为减轻尿毒症症状，应考虑减少剂量或停止用药。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•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长期禁食、重病、急性不良反应处理期间或手术前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48-72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小时内禁用；制定重启计划。</w:t>
            </w:r>
          </w:p>
        </w:tc>
      </w:tr>
      <w:tr w:rsidR="000A29F4" w14:paraId="56A00F0B" w14:textId="77777777">
        <w:trPr>
          <w:trHeight w:val="1285"/>
        </w:trPr>
        <w:tc>
          <w:tcPr>
            <w:tcW w:w="2070" w:type="dxa"/>
          </w:tcPr>
          <w:p w14:paraId="0F60F41A" w14:textId="018BFDEA" w:rsidR="000A29F4" w:rsidRDefault="00615F46">
            <w:pPr>
              <w:pStyle w:val="TableParagraph"/>
              <w:spacing w:before="55" w:line="232" w:lineRule="auto"/>
              <w:ind w:left="90" w:right="865"/>
              <w:rPr>
                <w:sz w:val="17"/>
                <w:lang w:eastAsia="zh-CN"/>
              </w:rPr>
            </w:pP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培</w:t>
            </w:r>
            <w:proofErr w:type="gramStart"/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哚</w:t>
            </w:r>
            <w:proofErr w:type="gramEnd"/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普利片剂：</w:t>
            </w:r>
            <w:r w:rsidRPr="00615F46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>2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毫克、</w:t>
            </w:r>
            <w:r w:rsidRPr="00615F46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>4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毫克</w:t>
            </w:r>
          </w:p>
        </w:tc>
        <w:tc>
          <w:tcPr>
            <w:tcW w:w="1890" w:type="dxa"/>
          </w:tcPr>
          <w:p w14:paraId="158133EF" w14:textId="77777777" w:rsidR="000A29F4" w:rsidRDefault="00EA019F">
            <w:pPr>
              <w:pStyle w:val="TableParagraph"/>
              <w:spacing w:before="81" w:line="199" w:lineRule="auto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>初始剂量：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每天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一次口服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4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 xml:space="preserve"> </w:t>
            </w:r>
          </w:p>
          <w:p w14:paraId="18B20AEE" w14:textId="77777777" w:rsidR="000A29F4" w:rsidRDefault="00EA019F">
            <w:pPr>
              <w:pStyle w:val="TableParagraph"/>
              <w:spacing w:line="199" w:lineRule="auto"/>
              <w:ind w:right="314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常规：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每天一次口服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4-8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 xml:space="preserve"> </w:t>
            </w:r>
          </w:p>
          <w:p w14:paraId="0159FB4C" w14:textId="77777777" w:rsidR="000A29F4" w:rsidRDefault="00EA019F">
            <w:pPr>
              <w:pStyle w:val="TableParagraph"/>
              <w:spacing w:line="228" w:lineRule="exact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>最大剂量：</w:t>
            </w: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每天口服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8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</w:t>
            </w:r>
          </w:p>
        </w:tc>
        <w:tc>
          <w:tcPr>
            <w:tcW w:w="810" w:type="dxa"/>
          </w:tcPr>
          <w:p w14:paraId="740A33E0" w14:textId="6AEED87B" w:rsidR="000A29F4" w:rsidRDefault="000A29F4">
            <w:pPr>
              <w:pStyle w:val="TableParagraph"/>
              <w:spacing w:before="51"/>
              <w:rPr>
                <w:sz w:val="17"/>
              </w:rPr>
            </w:pPr>
          </w:p>
        </w:tc>
        <w:tc>
          <w:tcPr>
            <w:tcW w:w="1260" w:type="dxa"/>
          </w:tcPr>
          <w:p w14:paraId="46750B17" w14:textId="46CABE2E" w:rsidR="000A29F4" w:rsidRDefault="000A29F4">
            <w:pPr>
              <w:pStyle w:val="TableParagraph"/>
              <w:spacing w:before="82" w:line="199" w:lineRule="auto"/>
              <w:ind w:right="101"/>
              <w:rPr>
                <w:sz w:val="17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13375A55" w14:textId="77777777" w:rsidR="000A29F4" w:rsidRDefault="000A29F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4D9134B6" w14:textId="77777777" w:rsidR="000A29F4" w:rsidRDefault="000A29F4">
            <w:pPr>
              <w:rPr>
                <w:sz w:val="2"/>
                <w:szCs w:val="2"/>
              </w:rPr>
            </w:pPr>
          </w:p>
        </w:tc>
      </w:tr>
      <w:tr w:rsidR="000A29F4" w14:paraId="00AB9F55" w14:textId="77777777">
        <w:trPr>
          <w:trHeight w:val="567"/>
        </w:trPr>
        <w:tc>
          <w:tcPr>
            <w:tcW w:w="7740" w:type="dxa"/>
            <w:gridSpan w:val="5"/>
          </w:tcPr>
          <w:p w14:paraId="556E0C89" w14:textId="77777777" w:rsidR="000A29F4" w:rsidRDefault="00EA019F">
            <w:pPr>
              <w:pStyle w:val="TableParagraph"/>
              <w:spacing w:before="50" w:line="228" w:lineRule="exact"/>
              <w:ind w:left="90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血管紧张素受体阻滞剂（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ARB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）</w:t>
            </w:r>
          </w:p>
          <w:p w14:paraId="79E3C10D" w14:textId="53D6FCBA" w:rsidR="000A29F4" w:rsidRDefault="000A29F4">
            <w:pPr>
              <w:pStyle w:val="TableParagraph"/>
              <w:spacing w:line="250" w:lineRule="exact"/>
              <w:ind w:left="90"/>
              <w:rPr>
                <w:sz w:val="17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31721565" w14:textId="77777777" w:rsidR="000A29F4" w:rsidRDefault="000A29F4">
            <w:pPr>
              <w:rPr>
                <w:sz w:val="2"/>
                <w:szCs w:val="2"/>
              </w:rPr>
            </w:pPr>
          </w:p>
        </w:tc>
      </w:tr>
      <w:tr w:rsidR="000A29F4" w14:paraId="52551965" w14:textId="77777777">
        <w:trPr>
          <w:trHeight w:val="1215"/>
        </w:trPr>
        <w:tc>
          <w:tcPr>
            <w:tcW w:w="2070" w:type="dxa"/>
          </w:tcPr>
          <w:p w14:paraId="530C38F9" w14:textId="77777777" w:rsidR="000A29F4" w:rsidRDefault="00EA019F">
            <w:pPr>
              <w:pStyle w:val="TableParagraph"/>
              <w:spacing w:before="50"/>
              <w:ind w:left="90"/>
              <w:rPr>
                <w:rFonts w:ascii="Arial Black"/>
                <w:sz w:val="17"/>
                <w:lang w:eastAsia="zh-CN"/>
              </w:rPr>
            </w:pPr>
            <w:proofErr w:type="gramStart"/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>氯沙坦</w:t>
            </w:r>
            <w:proofErr w:type="gramEnd"/>
          </w:p>
          <w:p w14:paraId="72D91F96" w14:textId="2263BA8A" w:rsidR="000A29F4" w:rsidRDefault="00615F46">
            <w:pPr>
              <w:pStyle w:val="TableParagraph"/>
              <w:spacing w:line="253" w:lineRule="exact"/>
              <w:ind w:left="90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片剂</w:t>
            </w:r>
            <w:r w:rsidR="00EA019F">
              <w:rPr>
                <w:rFonts w:eastAsia="宋体"/>
                <w:color w:val="231F20"/>
                <w:w w:val="80"/>
                <w:sz w:val="17"/>
                <w:lang w:eastAsia="zh-CN"/>
              </w:rPr>
              <w:t>：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 xml:space="preserve"> </w:t>
            </w:r>
            <w:r w:rsidR="00EA019F">
              <w:rPr>
                <w:rFonts w:eastAsia="宋体"/>
                <w:color w:val="231F20"/>
                <w:w w:val="80"/>
                <w:sz w:val="17"/>
                <w:lang w:eastAsia="zh-CN"/>
              </w:rPr>
              <w:t>50</w:t>
            </w:r>
            <w:r w:rsidR="00EA019F">
              <w:rPr>
                <w:rFonts w:eastAsia="宋体"/>
                <w:color w:val="231F20"/>
                <w:w w:val="80"/>
                <w:sz w:val="17"/>
                <w:lang w:eastAsia="zh-CN"/>
              </w:rPr>
              <w:t>毫克</w:t>
            </w:r>
          </w:p>
        </w:tc>
        <w:tc>
          <w:tcPr>
            <w:tcW w:w="1890" w:type="dxa"/>
          </w:tcPr>
          <w:p w14:paraId="0E9D9FCD" w14:textId="77777777" w:rsidR="000A29F4" w:rsidRDefault="00EA019F">
            <w:pPr>
              <w:pStyle w:val="TableParagraph"/>
              <w:spacing w:before="82" w:line="199" w:lineRule="auto"/>
              <w:ind w:right="314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spacing w:val="-2"/>
                <w:w w:val="85"/>
                <w:sz w:val="17"/>
                <w:lang w:eastAsia="zh-CN"/>
              </w:rPr>
              <w:t>初始剂量：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每天一次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口服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25-50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 xml:space="preserve"> </w:t>
            </w:r>
          </w:p>
          <w:p w14:paraId="50083AF0" w14:textId="77777777" w:rsidR="000A29F4" w:rsidRDefault="00EA019F">
            <w:pPr>
              <w:pStyle w:val="TableParagraph"/>
              <w:spacing w:line="199" w:lineRule="auto"/>
              <w:rPr>
                <w:position w:val="6"/>
                <w:sz w:val="10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常规剂量：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每天一次口服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50 - 100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（慢性肾病试验剂量）</w:t>
            </w:r>
            <w:hyperlink w:anchor="_bookmark9" w:history="1">
              <w:r>
                <w:rPr>
                  <w:color w:val="231F20"/>
                  <w:spacing w:val="-2"/>
                  <w:w w:val="90"/>
                  <w:position w:val="6"/>
                  <w:sz w:val="10"/>
                  <w:lang w:eastAsia="zh-CN"/>
                </w:rPr>
                <w:t>6</w:t>
              </w:r>
            </w:hyperlink>
          </w:p>
        </w:tc>
        <w:tc>
          <w:tcPr>
            <w:tcW w:w="810" w:type="dxa"/>
          </w:tcPr>
          <w:p w14:paraId="66C9DD41" w14:textId="0DC5FF80" w:rsidR="000A29F4" w:rsidRDefault="000A29F4">
            <w:pPr>
              <w:pStyle w:val="TableParagraph"/>
              <w:spacing w:before="50"/>
              <w:ind w:left="90"/>
              <w:rPr>
                <w:sz w:val="17"/>
              </w:rPr>
            </w:pPr>
          </w:p>
        </w:tc>
        <w:tc>
          <w:tcPr>
            <w:tcW w:w="1260" w:type="dxa"/>
          </w:tcPr>
          <w:p w14:paraId="6939FF2C" w14:textId="67F3C47E" w:rsidR="000A29F4" w:rsidRDefault="000A29F4">
            <w:pPr>
              <w:pStyle w:val="TableParagraph"/>
              <w:spacing w:before="82" w:line="199" w:lineRule="auto"/>
              <w:ind w:right="162"/>
              <w:rPr>
                <w:sz w:val="17"/>
              </w:rPr>
            </w:pPr>
          </w:p>
        </w:tc>
        <w:tc>
          <w:tcPr>
            <w:tcW w:w="1710" w:type="dxa"/>
            <w:vMerge w:val="restart"/>
          </w:tcPr>
          <w:p w14:paraId="70FF1EC9" w14:textId="77777777" w:rsidR="000A29F4" w:rsidRDefault="00EA019F">
            <w:pPr>
              <w:pStyle w:val="TableParagraph"/>
              <w:spacing w:before="50" w:line="239" w:lineRule="exact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常见：</w:t>
            </w:r>
          </w:p>
          <w:p w14:paraId="064D0321" w14:textId="77777777" w:rsidR="000A29F4" w:rsidRDefault="00EA019F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spacing w:line="239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高钾血症</w:t>
            </w:r>
          </w:p>
          <w:p w14:paraId="537DB113" w14:textId="77777777" w:rsidR="000A29F4" w:rsidRDefault="00EA019F">
            <w:pPr>
              <w:pStyle w:val="TableParagraph"/>
              <w:spacing w:before="171" w:line="239" w:lineRule="exact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较少</w:t>
            </w:r>
            <w:r>
              <w:rPr>
                <w:rFonts w:eastAsia="宋体"/>
                <w:color w:val="231F20"/>
                <w:w w:val="85"/>
                <w:sz w:val="17"/>
              </w:rPr>
              <w:t xml:space="preserve"> </w:t>
            </w: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见：</w:t>
            </w:r>
          </w:p>
          <w:p w14:paraId="17FF0690" w14:textId="77777777" w:rsidR="000A29F4" w:rsidRDefault="00EA019F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血管性水肿</w:t>
            </w:r>
          </w:p>
          <w:p w14:paraId="2DAB81EE" w14:textId="77777777" w:rsidR="000A29F4" w:rsidRDefault="00EA019F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9" w:line="199" w:lineRule="auto"/>
              <w:ind w:right="321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肾</w:t>
            </w:r>
            <w:r>
              <w:rPr>
                <w:rFonts w:eastAsia="宋体"/>
                <w:color w:val="231F20"/>
                <w:w w:val="8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 xml:space="preserve"> </w:t>
            </w:r>
            <w:r>
              <w:rPr>
                <w:rFonts w:eastAsia="宋体"/>
                <w:color w:val="231F20"/>
                <w:w w:val="85"/>
                <w:sz w:val="17"/>
              </w:rPr>
              <w:t>衰竭患者的</w:t>
            </w: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降水</w:t>
            </w: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 xml:space="preserve"> </w:t>
            </w:r>
          </w:p>
          <w:p w14:paraId="27A4431B" w14:textId="77777777" w:rsidR="000A29F4" w:rsidRDefault="00EA019F">
            <w:pPr>
              <w:pStyle w:val="TableParagraph"/>
              <w:spacing w:line="199" w:lineRule="auto"/>
              <w:ind w:left="269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疾病、体积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sz w:val="17"/>
                <w:lang w:eastAsia="zh-CN"/>
              </w:rPr>
              <w:t>耗竭或同时使用非</w:t>
            </w:r>
            <w:proofErr w:type="gramStart"/>
            <w:r>
              <w:rPr>
                <w:rFonts w:eastAsia="宋体"/>
                <w:color w:val="231F20"/>
                <w:sz w:val="17"/>
                <w:lang w:eastAsia="zh-CN"/>
              </w:rPr>
              <w:t>甾</w:t>
            </w:r>
            <w:proofErr w:type="gramEnd"/>
            <w:r>
              <w:rPr>
                <w:rFonts w:eastAsia="宋体"/>
                <w:color w:val="231F20"/>
                <w:sz w:val="17"/>
                <w:lang w:eastAsia="zh-CN"/>
              </w:rPr>
              <w:t>体抗炎药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63AF2CC3" w14:textId="77777777" w:rsidR="000A29F4" w:rsidRDefault="000A29F4">
            <w:pPr>
              <w:rPr>
                <w:sz w:val="2"/>
                <w:szCs w:val="2"/>
                <w:lang w:eastAsia="zh-CN"/>
              </w:rPr>
            </w:pPr>
          </w:p>
        </w:tc>
      </w:tr>
      <w:tr w:rsidR="000A29F4" w14:paraId="43DBA92D" w14:textId="77777777">
        <w:trPr>
          <w:trHeight w:val="2506"/>
        </w:trPr>
        <w:tc>
          <w:tcPr>
            <w:tcW w:w="2070" w:type="dxa"/>
          </w:tcPr>
          <w:p w14:paraId="25BC0864" w14:textId="00D25A75" w:rsidR="000A29F4" w:rsidRDefault="00615F46">
            <w:pPr>
              <w:pStyle w:val="TableParagraph"/>
              <w:spacing w:before="50"/>
              <w:rPr>
                <w:rFonts w:ascii="Arial Black"/>
                <w:sz w:val="17"/>
                <w:lang w:eastAsia="zh-CN"/>
              </w:rPr>
            </w:pPr>
            <w:proofErr w:type="gramStart"/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厄</w:t>
            </w:r>
            <w:r w:rsidR="00EA019F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>贝沙坦</w:t>
            </w:r>
            <w:proofErr w:type="gramEnd"/>
          </w:p>
          <w:p w14:paraId="7E5941FE" w14:textId="4A290D1E" w:rsidR="000A29F4" w:rsidRDefault="00EA019F">
            <w:pPr>
              <w:pStyle w:val="TableParagraph"/>
              <w:spacing w:line="253" w:lineRule="exac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片剂：</w:t>
            </w:r>
            <w:r w:rsidR="00615F46">
              <w:rPr>
                <w:rFonts w:eastAsia="宋体"/>
                <w:color w:val="231F20"/>
                <w:w w:val="80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150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毫克</w:t>
            </w:r>
          </w:p>
        </w:tc>
        <w:tc>
          <w:tcPr>
            <w:tcW w:w="1890" w:type="dxa"/>
          </w:tcPr>
          <w:p w14:paraId="41459A85" w14:textId="77777777" w:rsidR="000A29F4" w:rsidRDefault="00EA019F">
            <w:pPr>
              <w:pStyle w:val="TableParagraph"/>
              <w:spacing w:before="82" w:line="199" w:lineRule="auto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初始剂量：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每日一次，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口服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75 - 150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 xml:space="preserve"> </w:t>
            </w:r>
          </w:p>
          <w:p w14:paraId="2645B3DD" w14:textId="77777777" w:rsidR="000A29F4" w:rsidRDefault="00EA019F">
            <w:pPr>
              <w:pStyle w:val="TableParagraph"/>
              <w:spacing w:line="199" w:lineRule="auto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常规：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每天一次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口服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150-300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 xml:space="preserve"> </w:t>
            </w:r>
          </w:p>
          <w:p w14:paraId="5B11ED11" w14:textId="77777777" w:rsidR="000A29F4" w:rsidRDefault="00EA019F">
            <w:pPr>
              <w:pStyle w:val="TableParagraph"/>
              <w:spacing w:line="199" w:lineRule="auto"/>
              <w:ind w:right="272"/>
              <w:rPr>
                <w:position w:val="6"/>
                <w:sz w:val="10"/>
                <w:lang w:eastAsia="zh-CN"/>
              </w:rPr>
            </w:pP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>最大剂量：</w:t>
            </w: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每天口服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300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毫克（慢性肾病试验剂量）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"_bookmark10" </w:instrText>
            </w:r>
            <w:r w:rsidR="00C80D18">
              <w:fldChar w:fldCharType="separate"/>
            </w:r>
            <w:r>
              <w:rPr>
                <w:color w:val="231F20"/>
                <w:spacing w:val="-2"/>
                <w:w w:val="85"/>
                <w:position w:val="6"/>
                <w:sz w:val="10"/>
                <w:lang w:eastAsia="zh-CN"/>
              </w:rPr>
              <w:t>7</w:t>
            </w:r>
            <w:r w:rsidR="00C80D18">
              <w:rPr>
                <w:color w:val="231F20"/>
                <w:spacing w:val="-2"/>
                <w:w w:val="85"/>
                <w:position w:val="6"/>
                <w:sz w:val="10"/>
              </w:rPr>
              <w:fldChar w:fldCharType="end"/>
            </w:r>
          </w:p>
        </w:tc>
        <w:tc>
          <w:tcPr>
            <w:tcW w:w="810" w:type="dxa"/>
          </w:tcPr>
          <w:p w14:paraId="59C07F77" w14:textId="719748F6" w:rsidR="000A29F4" w:rsidRDefault="000A29F4">
            <w:pPr>
              <w:pStyle w:val="TableParagraph"/>
              <w:spacing w:before="50"/>
              <w:ind w:left="90"/>
              <w:rPr>
                <w:sz w:val="17"/>
              </w:rPr>
            </w:pPr>
          </w:p>
        </w:tc>
        <w:tc>
          <w:tcPr>
            <w:tcW w:w="1260" w:type="dxa"/>
          </w:tcPr>
          <w:p w14:paraId="48E6CD59" w14:textId="7FE79049" w:rsidR="000A29F4" w:rsidRDefault="000A29F4">
            <w:pPr>
              <w:pStyle w:val="TableParagraph"/>
              <w:spacing w:before="82" w:line="199" w:lineRule="auto"/>
              <w:ind w:right="184"/>
              <w:rPr>
                <w:sz w:val="17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5960B65B" w14:textId="77777777" w:rsidR="000A29F4" w:rsidRDefault="000A29F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6E40B7E4" w14:textId="77777777" w:rsidR="000A29F4" w:rsidRDefault="000A29F4">
            <w:pPr>
              <w:rPr>
                <w:sz w:val="2"/>
                <w:szCs w:val="2"/>
              </w:rPr>
            </w:pPr>
          </w:p>
        </w:tc>
      </w:tr>
      <w:tr w:rsidR="000A29F4" w14:paraId="74914C29" w14:textId="77777777">
        <w:trPr>
          <w:trHeight w:val="567"/>
        </w:trPr>
        <w:tc>
          <w:tcPr>
            <w:tcW w:w="10800" w:type="dxa"/>
            <w:gridSpan w:val="6"/>
          </w:tcPr>
          <w:p w14:paraId="5CF60D38" w14:textId="77777777" w:rsidR="000A29F4" w:rsidRDefault="00EA019F">
            <w:pPr>
              <w:pStyle w:val="TableParagraph"/>
              <w:spacing w:before="50" w:line="228" w:lineRule="exact"/>
              <w:ind w:left="90"/>
              <w:rPr>
                <w:rFonts w:ascii="Arial Black" w:hAnsi="Arial Black"/>
                <w:sz w:val="17"/>
                <w:lang w:eastAsia="zh-CN"/>
              </w:rPr>
            </w:pPr>
            <w:r>
              <w:rPr>
                <w:rFonts w:ascii="Arial Black" w:eastAsia="宋体" w:hAnsi="Arial Black"/>
                <w:color w:val="231F20"/>
                <w:w w:val="80"/>
                <w:sz w:val="17"/>
                <w:lang w:eastAsia="zh-CN"/>
              </w:rPr>
              <w:t>HMG-CoA</w:t>
            </w:r>
            <w:r>
              <w:rPr>
                <w:rFonts w:ascii="Arial Black" w:eastAsia="宋体" w:hAnsi="Arial Black"/>
                <w:color w:val="231F20"/>
                <w:w w:val="80"/>
                <w:sz w:val="17"/>
                <w:lang w:eastAsia="zh-CN"/>
              </w:rPr>
              <w:t>还原酶抑制剂（他</w:t>
            </w:r>
            <w:proofErr w:type="gramStart"/>
            <w:r>
              <w:rPr>
                <w:rFonts w:ascii="Arial Black" w:eastAsia="宋体" w:hAnsi="Arial Black"/>
                <w:color w:val="231F20"/>
                <w:w w:val="80"/>
                <w:sz w:val="17"/>
                <w:lang w:eastAsia="zh-CN"/>
              </w:rPr>
              <w:t>汀</w:t>
            </w:r>
            <w:proofErr w:type="gramEnd"/>
            <w:r>
              <w:rPr>
                <w:rFonts w:ascii="Arial Black" w:eastAsia="宋体" w:hAnsi="Arial Black"/>
                <w:color w:val="231F20"/>
                <w:w w:val="80"/>
                <w:sz w:val="17"/>
                <w:lang w:eastAsia="zh-CN"/>
              </w:rPr>
              <w:t>类药物）</w:t>
            </w:r>
            <w:r>
              <w:rPr>
                <w:rFonts w:ascii="Arial Black" w:eastAsia="宋体" w:hAnsi="Arial Black"/>
                <w:color w:val="231F20"/>
                <w:w w:val="80"/>
                <w:sz w:val="17"/>
                <w:lang w:eastAsia="zh-CN"/>
              </w:rPr>
              <w:t>——</w:t>
            </w:r>
            <w:r>
              <w:rPr>
                <w:rFonts w:ascii="Arial Black" w:eastAsia="宋体" w:hAnsi="Arial Black"/>
                <w:color w:val="231F20"/>
                <w:w w:val="80"/>
                <w:sz w:val="17"/>
                <w:lang w:eastAsia="zh-CN"/>
              </w:rPr>
              <w:t>中等或高强度</w:t>
            </w:r>
          </w:p>
          <w:p w14:paraId="6666106E" w14:textId="66F7FED9" w:rsidR="000A29F4" w:rsidRDefault="000A29F4">
            <w:pPr>
              <w:pStyle w:val="TableParagraph"/>
              <w:spacing w:line="250" w:lineRule="exact"/>
              <w:ind w:left="90"/>
              <w:rPr>
                <w:sz w:val="17"/>
              </w:rPr>
            </w:pPr>
          </w:p>
        </w:tc>
      </w:tr>
      <w:tr w:rsidR="000A29F4" w14:paraId="70F2F04A" w14:textId="77777777">
        <w:trPr>
          <w:trHeight w:val="999"/>
        </w:trPr>
        <w:tc>
          <w:tcPr>
            <w:tcW w:w="10800" w:type="dxa"/>
            <w:gridSpan w:val="6"/>
          </w:tcPr>
          <w:p w14:paraId="0523B8EF" w14:textId="77777777" w:rsidR="000A29F4" w:rsidRDefault="00EA019F">
            <w:pPr>
              <w:pStyle w:val="TableParagraph"/>
              <w:spacing w:before="51" w:line="238" w:lineRule="exact"/>
              <w:ind w:left="90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大型试验显示，以下每日一次强化他</w:t>
            </w: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汀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类药物方案在慢性肾病患者（包括透析患者）中是安全的：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"_bookmark8" </w:instrText>
            </w:r>
            <w:r w:rsidR="00C80D18">
              <w:fldChar w:fldCharType="separate"/>
            </w:r>
            <w:r>
              <w:rPr>
                <w:color w:val="231F20"/>
                <w:spacing w:val="-2"/>
                <w:w w:val="85"/>
                <w:position w:val="6"/>
                <w:sz w:val="10"/>
                <w:lang w:eastAsia="zh-CN"/>
              </w:rPr>
              <w:t>5</w:t>
            </w:r>
            <w:r w:rsidR="00C80D18">
              <w:rPr>
                <w:color w:val="231F20"/>
                <w:spacing w:val="-2"/>
                <w:w w:val="85"/>
                <w:position w:val="6"/>
                <w:sz w:val="10"/>
              </w:rPr>
              <w:fldChar w:fldCharType="end"/>
            </w:r>
          </w:p>
          <w:p w14:paraId="467A5C00" w14:textId="77777777" w:rsidR="000A29F4" w:rsidRDefault="00EA019F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阿托伐他汀</w:t>
            </w:r>
            <w:r>
              <w:rPr>
                <w:rFonts w:eastAsia="宋体"/>
                <w:color w:val="231F20"/>
                <w:w w:val="85"/>
                <w:sz w:val="17"/>
              </w:rPr>
              <w:t xml:space="preserve"> 20</w:t>
            </w:r>
            <w:r>
              <w:rPr>
                <w:rFonts w:eastAsia="宋体"/>
                <w:color w:val="231F20"/>
                <w:w w:val="85"/>
                <w:sz w:val="17"/>
              </w:rPr>
              <w:t>毫克</w:t>
            </w:r>
          </w:p>
          <w:p w14:paraId="5F284829" w14:textId="77777777" w:rsidR="000A29F4" w:rsidRDefault="00EA019F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瑞舒伐他汀</w:t>
            </w:r>
            <w:r>
              <w:rPr>
                <w:rFonts w:eastAsia="宋体"/>
                <w:color w:val="231F20"/>
                <w:w w:val="85"/>
                <w:sz w:val="17"/>
              </w:rPr>
              <w:t xml:space="preserve"> 10</w:t>
            </w:r>
            <w:r>
              <w:rPr>
                <w:rFonts w:eastAsia="宋体"/>
                <w:color w:val="231F20"/>
                <w:w w:val="85"/>
                <w:sz w:val="17"/>
              </w:rPr>
              <w:t>毫克</w:t>
            </w:r>
          </w:p>
          <w:p w14:paraId="276536C5" w14:textId="77777777" w:rsidR="000A29F4" w:rsidRDefault="00EA019F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spacing w:line="239" w:lineRule="exact"/>
              <w:ind w:left="268" w:hanging="179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辛伐他</w:t>
            </w: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汀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20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毫克与依替</w:t>
            </w: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咪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布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10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毫克联合使用。</w:t>
            </w:r>
          </w:p>
        </w:tc>
      </w:tr>
    </w:tbl>
    <w:p w14:paraId="32F94716" w14:textId="77777777" w:rsidR="000A29F4" w:rsidRDefault="000A29F4">
      <w:pPr>
        <w:pStyle w:val="TableParagraph"/>
        <w:spacing w:line="239" w:lineRule="exact"/>
        <w:rPr>
          <w:sz w:val="17"/>
          <w:lang w:eastAsia="zh-CN"/>
        </w:rPr>
        <w:sectPr w:rsidR="000A29F4">
          <w:footerReference w:type="default" r:id="rId8"/>
          <w:pgSz w:w="12240" w:h="15840"/>
          <w:pgMar w:top="700" w:right="360" w:bottom="700" w:left="720" w:header="0" w:footer="51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298EC1"/>
          <w:left w:val="single" w:sz="4" w:space="0" w:color="298EC1"/>
          <w:bottom w:val="single" w:sz="4" w:space="0" w:color="298EC1"/>
          <w:right w:val="single" w:sz="4" w:space="0" w:color="298EC1"/>
          <w:insideH w:val="single" w:sz="4" w:space="0" w:color="298EC1"/>
          <w:insideV w:val="single" w:sz="4" w:space="0" w:color="298EC1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890"/>
        <w:gridCol w:w="810"/>
        <w:gridCol w:w="1260"/>
        <w:gridCol w:w="1710"/>
        <w:gridCol w:w="3060"/>
      </w:tblGrid>
      <w:tr w:rsidR="000A29F4" w14:paraId="70DCE016" w14:textId="77777777">
        <w:trPr>
          <w:trHeight w:val="783"/>
        </w:trPr>
        <w:tc>
          <w:tcPr>
            <w:tcW w:w="2070" w:type="dxa"/>
            <w:shd w:val="clear" w:color="auto" w:fill="D3E0EE"/>
          </w:tcPr>
          <w:p w14:paraId="2028E8BE" w14:textId="2889F528" w:rsidR="000A29F4" w:rsidRDefault="00615F46">
            <w:pPr>
              <w:pStyle w:val="TableParagraph"/>
              <w:spacing w:before="49"/>
              <w:ind w:left="10"/>
              <w:jc w:val="center"/>
              <w:rPr>
                <w:rFonts w:ascii="Arial Black"/>
                <w:sz w:val="17"/>
              </w:rPr>
            </w:pPr>
            <w:r>
              <w:rPr>
                <w:rFonts w:ascii="Arial Black" w:eastAsia="宋体" w:hint="eastAsia"/>
                <w:color w:val="231F20"/>
                <w:w w:val="80"/>
                <w:sz w:val="17"/>
                <w:lang w:eastAsia="zh-CN"/>
              </w:rPr>
              <w:lastRenderedPageBreak/>
              <w:t>药</w:t>
            </w:r>
            <w:r w:rsidR="00EA019F">
              <w:rPr>
                <w:rFonts w:ascii="Arial Black" w:eastAsia="宋体"/>
                <w:color w:val="231F20"/>
                <w:w w:val="80"/>
                <w:sz w:val="17"/>
              </w:rPr>
              <w:t xml:space="preserve"> </w:t>
            </w:r>
            <w:r w:rsidR="00EA019F">
              <w:rPr>
                <w:rFonts w:ascii="Arial Black" w:eastAsia="宋体"/>
                <w:color w:val="231F20"/>
                <w:spacing w:val="-4"/>
                <w:w w:val="90"/>
                <w:sz w:val="17"/>
              </w:rPr>
              <w:t>名</w:t>
            </w:r>
          </w:p>
          <w:p w14:paraId="21FD38EC" w14:textId="77777777" w:rsidR="000A29F4" w:rsidRDefault="00EA019F">
            <w:pPr>
              <w:pStyle w:val="TableParagraph"/>
              <w:spacing w:line="253" w:lineRule="exact"/>
              <w:ind w:left="10"/>
              <w:jc w:val="center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w w:val="85"/>
                <w:sz w:val="17"/>
              </w:rPr>
              <w:t>剂型与浓度</w:t>
            </w:r>
            <w:proofErr w:type="spellEnd"/>
          </w:p>
        </w:tc>
        <w:tc>
          <w:tcPr>
            <w:tcW w:w="1890" w:type="dxa"/>
            <w:shd w:val="clear" w:color="auto" w:fill="D3E0EE"/>
          </w:tcPr>
          <w:p w14:paraId="0A7D81DD" w14:textId="33C8FF1E" w:rsidR="000A29F4" w:rsidRDefault="00EA019F">
            <w:pPr>
              <w:pStyle w:val="TableParagraph"/>
              <w:spacing w:before="68" w:line="216" w:lineRule="auto"/>
              <w:ind w:left="120" w:firstLine="253"/>
              <w:rPr>
                <w:position w:val="6"/>
                <w:sz w:val="10"/>
              </w:rPr>
            </w:pPr>
            <w:proofErr w:type="spellStart"/>
            <w:r>
              <w:rPr>
                <w:rFonts w:ascii="Arial Black" w:eastAsia="宋体"/>
                <w:color w:val="231F20"/>
                <w:spacing w:val="-2"/>
                <w:w w:val="90"/>
                <w:sz w:val="17"/>
              </w:rPr>
              <w:t>推荐</w:t>
            </w:r>
            <w:r>
              <w:rPr>
                <w:rFonts w:ascii="Arial Black" w:eastAsia="宋体"/>
                <w:color w:val="231F20"/>
                <w:w w:val="80"/>
                <w:sz w:val="17"/>
              </w:rPr>
              <w:t>剂量</w:t>
            </w:r>
            <w:proofErr w:type="spellEnd"/>
          </w:p>
        </w:tc>
        <w:tc>
          <w:tcPr>
            <w:tcW w:w="810" w:type="dxa"/>
            <w:shd w:val="clear" w:color="auto" w:fill="D3E0EE"/>
          </w:tcPr>
          <w:p w14:paraId="0BEBC3BF" w14:textId="52B306A8" w:rsidR="000A29F4" w:rsidRDefault="000A29F4">
            <w:pPr>
              <w:pStyle w:val="TableParagraph"/>
              <w:spacing w:before="68" w:line="216" w:lineRule="auto"/>
              <w:ind w:right="77" w:firstLine="19"/>
              <w:jc w:val="both"/>
              <w:rPr>
                <w:position w:val="6"/>
                <w:sz w:val="10"/>
              </w:rPr>
            </w:pPr>
          </w:p>
        </w:tc>
        <w:tc>
          <w:tcPr>
            <w:tcW w:w="1260" w:type="dxa"/>
            <w:shd w:val="clear" w:color="auto" w:fill="D3E0EE"/>
          </w:tcPr>
          <w:p w14:paraId="6EC11C4C" w14:textId="40F00315" w:rsidR="000A29F4" w:rsidRDefault="000A29F4">
            <w:pPr>
              <w:pStyle w:val="TableParagraph"/>
              <w:spacing w:before="68" w:line="216" w:lineRule="auto"/>
              <w:ind w:left="240" w:hanging="85"/>
              <w:rPr>
                <w:position w:val="6"/>
                <w:sz w:val="10"/>
              </w:rPr>
            </w:pPr>
          </w:p>
        </w:tc>
        <w:tc>
          <w:tcPr>
            <w:tcW w:w="1710" w:type="dxa"/>
            <w:shd w:val="clear" w:color="auto" w:fill="D3E0EE"/>
          </w:tcPr>
          <w:p w14:paraId="01678C5E" w14:textId="3913468E" w:rsidR="000A29F4" w:rsidRDefault="00EA019F">
            <w:pPr>
              <w:pStyle w:val="TableParagraph"/>
              <w:spacing w:before="49"/>
              <w:ind w:left="237"/>
              <w:rPr>
                <w:position w:val="6"/>
                <w:sz w:val="10"/>
              </w:rPr>
            </w:pPr>
            <w:proofErr w:type="spellStart"/>
            <w:r>
              <w:rPr>
                <w:rFonts w:ascii="Arial Black" w:eastAsia="宋体"/>
                <w:color w:val="231F20"/>
                <w:w w:val="80"/>
                <w:sz w:val="17"/>
              </w:rPr>
              <w:t>不良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</w:rPr>
              <w:t>反应</w:t>
            </w:r>
            <w:proofErr w:type="spellEnd"/>
            <w:r w:rsidR="00C80D18">
              <w:fldChar w:fldCharType="begin"/>
            </w:r>
            <w:r w:rsidR="00C80D18">
              <w:instrText xml:space="preserve"> HYPERLINK \l "_bookmark1" </w:instrText>
            </w:r>
            <w:r w:rsidR="00C80D18">
              <w:fldChar w:fldCharType="separate"/>
            </w:r>
            <w:r w:rsidR="00C80D18">
              <w:fldChar w:fldCharType="end"/>
            </w:r>
          </w:p>
        </w:tc>
        <w:tc>
          <w:tcPr>
            <w:tcW w:w="3060" w:type="dxa"/>
            <w:shd w:val="clear" w:color="auto" w:fill="D3E0EE"/>
          </w:tcPr>
          <w:p w14:paraId="7C80B641" w14:textId="3386822A" w:rsidR="000A29F4" w:rsidRDefault="00EA019F">
            <w:pPr>
              <w:pStyle w:val="TableParagraph"/>
              <w:spacing w:before="68" w:line="216" w:lineRule="auto"/>
              <w:ind w:left="346" w:right="334" w:hanging="1"/>
              <w:jc w:val="center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药物相互作用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"_bookmark1" </w:instrText>
            </w:r>
            <w:r w:rsidR="00C80D18">
              <w:fldChar w:fldCharType="separate"/>
            </w:r>
            <w:r w:rsidR="00C80D18">
              <w:fldChar w:fldCharType="end"/>
            </w:r>
            <w:r>
              <w:rPr>
                <w:color w:val="231F20"/>
                <w:spacing w:val="-4"/>
                <w:w w:val="95"/>
                <w:position w:val="6"/>
                <w:sz w:val="10"/>
                <w:lang w:eastAsia="zh-CN"/>
              </w:rPr>
              <w:t xml:space="preserve"> </w:t>
            </w: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及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慢性肾病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>的治疗考虑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 xml:space="preserve"> </w:t>
            </w:r>
          </w:p>
        </w:tc>
      </w:tr>
      <w:tr w:rsidR="000A29F4" w14:paraId="21D83D46" w14:textId="77777777">
        <w:trPr>
          <w:trHeight w:val="567"/>
        </w:trPr>
        <w:tc>
          <w:tcPr>
            <w:tcW w:w="10800" w:type="dxa"/>
            <w:gridSpan w:val="6"/>
          </w:tcPr>
          <w:p w14:paraId="648D96C3" w14:textId="77777777" w:rsidR="000A29F4" w:rsidRDefault="00EA019F">
            <w:pPr>
              <w:pStyle w:val="TableParagraph"/>
              <w:spacing w:before="49" w:line="228" w:lineRule="exact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类胰高血糖素肽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-1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受体激动剂（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GLP-1 RA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）</w:t>
            </w:r>
          </w:p>
          <w:p w14:paraId="26DDB0E6" w14:textId="13576FC6" w:rsidR="000A29F4" w:rsidRDefault="000A29F4">
            <w:pPr>
              <w:pStyle w:val="TableParagraph"/>
              <w:spacing w:line="250" w:lineRule="exact"/>
              <w:rPr>
                <w:sz w:val="17"/>
              </w:rPr>
            </w:pPr>
          </w:p>
        </w:tc>
      </w:tr>
      <w:tr w:rsidR="000A29F4" w14:paraId="401678A5" w14:textId="77777777">
        <w:trPr>
          <w:trHeight w:val="2511"/>
        </w:trPr>
        <w:tc>
          <w:tcPr>
            <w:tcW w:w="2070" w:type="dxa"/>
          </w:tcPr>
          <w:p w14:paraId="5719D576" w14:textId="77777777" w:rsidR="00615F46" w:rsidRPr="00615F46" w:rsidRDefault="00615F46" w:rsidP="00615F46">
            <w:pPr>
              <w:pStyle w:val="TableParagraph"/>
              <w:spacing w:before="49"/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</w:pPr>
            <w:r w:rsidRPr="00615F46">
              <w:rPr>
                <w:rFonts w:ascii="Arial Black" w:eastAsia="宋体" w:hint="eastAsia"/>
                <w:color w:val="231F20"/>
                <w:spacing w:val="-2"/>
                <w:w w:val="90"/>
                <w:sz w:val="17"/>
                <w:lang w:eastAsia="zh-CN"/>
              </w:rPr>
              <w:t>司美格鲁肽，诺和</w:t>
            </w:r>
            <w:proofErr w:type="gramStart"/>
            <w:r w:rsidRPr="00615F46">
              <w:rPr>
                <w:rFonts w:ascii="Arial Black" w:eastAsia="宋体" w:hint="eastAsia"/>
                <w:color w:val="231F20"/>
                <w:spacing w:val="-2"/>
                <w:w w:val="90"/>
                <w:sz w:val="17"/>
                <w:lang w:eastAsia="zh-CN"/>
              </w:rPr>
              <w:t>泰</w:t>
            </w:r>
            <w:proofErr w:type="gramEnd"/>
          </w:p>
          <w:p w14:paraId="5F572F92" w14:textId="151EEC55" w:rsidR="000A29F4" w:rsidRDefault="00615F46" w:rsidP="00615F46">
            <w:pPr>
              <w:pStyle w:val="TableParagraph"/>
              <w:spacing w:before="24" w:line="199" w:lineRule="auto"/>
              <w:ind w:right="131"/>
              <w:rPr>
                <w:sz w:val="17"/>
                <w:lang w:eastAsia="zh-CN"/>
              </w:rPr>
            </w:pPr>
            <w:r w:rsidRPr="00615F46">
              <w:rPr>
                <w:rFonts w:ascii="Arial Black" w:eastAsia="宋体" w:hint="eastAsia"/>
                <w:color w:val="231F20"/>
                <w:spacing w:val="-2"/>
                <w:w w:val="90"/>
                <w:sz w:val="17"/>
                <w:lang w:eastAsia="zh-CN"/>
              </w:rPr>
              <w:t>预填充式注射笔，</w:t>
            </w:r>
            <w:r w:rsidRPr="00615F46"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>2mg/1.5ml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0"/>
                <w:sz w:val="17"/>
                <w:lang w:eastAsia="zh-CN"/>
              </w:rPr>
              <w:t>。</w:t>
            </w:r>
          </w:p>
        </w:tc>
        <w:tc>
          <w:tcPr>
            <w:tcW w:w="1890" w:type="dxa"/>
          </w:tcPr>
          <w:p w14:paraId="2EC8CF9A" w14:textId="77777777" w:rsidR="000A29F4" w:rsidRDefault="00EA019F">
            <w:pPr>
              <w:pStyle w:val="TableParagraph"/>
              <w:spacing w:before="81" w:line="199" w:lineRule="auto"/>
              <w:ind w:right="132"/>
              <w:jc w:val="both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>初始剂量：</w:t>
            </w: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0.25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毫克，每周一次，每次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4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周，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然后增加到。</w:t>
            </w:r>
          </w:p>
          <w:p w14:paraId="68D11F6F" w14:textId="77777777" w:rsidR="000A29F4" w:rsidRDefault="00EA019F">
            <w:pPr>
              <w:pStyle w:val="TableParagraph"/>
              <w:spacing w:line="199" w:lineRule="auto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每周减脂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0.5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毫克。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可能在额外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4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周后增加到每周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1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的细切剂量</w:t>
            </w:r>
          </w:p>
          <w:p w14:paraId="39AFD305" w14:textId="77777777" w:rsidR="000A29F4" w:rsidRDefault="00EA019F">
            <w:pPr>
              <w:pStyle w:val="TableParagraph"/>
              <w:spacing w:line="199" w:lineRule="auto"/>
              <w:rPr>
                <w:position w:val="6"/>
                <w:sz w:val="10"/>
                <w:lang w:eastAsia="zh-CN"/>
              </w:rPr>
            </w:pPr>
            <w:r>
              <w:rPr>
                <w:rFonts w:ascii="Arial Black" w:eastAsia="宋体" w:hAnsi="Arial Black"/>
                <w:color w:val="231F20"/>
                <w:w w:val="95"/>
                <w:sz w:val="17"/>
                <w:lang w:eastAsia="zh-CN"/>
              </w:rPr>
              <w:t>常规剂量：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0.5 – 1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毫克，每周一次分切，</w:t>
            </w:r>
            <w:r>
              <w:rPr>
                <w:rFonts w:ascii="Arial Black" w:eastAsia="宋体" w:hAnsi="Arial Black"/>
                <w:color w:val="231F20"/>
                <w:w w:val="85"/>
                <w:sz w:val="17"/>
                <w:lang w:eastAsia="zh-CN"/>
              </w:rPr>
              <w:t>最大：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每周一次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1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毫克分切（慢性肾病试验剂量）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"_bookmark11" </w:instrText>
            </w:r>
            <w:r w:rsidR="00C80D18">
              <w:fldChar w:fldCharType="separate"/>
            </w:r>
            <w:r>
              <w:rPr>
                <w:color w:val="231F20"/>
                <w:spacing w:val="-2"/>
                <w:w w:val="85"/>
                <w:position w:val="6"/>
                <w:sz w:val="10"/>
                <w:lang w:eastAsia="zh-CN"/>
              </w:rPr>
              <w:t>8</w:t>
            </w:r>
            <w:r w:rsidR="00C80D18">
              <w:rPr>
                <w:color w:val="231F20"/>
                <w:spacing w:val="-2"/>
                <w:w w:val="85"/>
                <w:position w:val="6"/>
                <w:sz w:val="10"/>
              </w:rPr>
              <w:fldChar w:fldCharType="end"/>
            </w:r>
          </w:p>
        </w:tc>
        <w:tc>
          <w:tcPr>
            <w:tcW w:w="810" w:type="dxa"/>
          </w:tcPr>
          <w:p w14:paraId="293F3DA9" w14:textId="07026BD0" w:rsidR="000A29F4" w:rsidRDefault="000A29F4">
            <w:pPr>
              <w:pStyle w:val="TableParagraph"/>
              <w:spacing w:before="50"/>
              <w:ind w:left="90"/>
              <w:rPr>
                <w:sz w:val="17"/>
              </w:rPr>
            </w:pPr>
          </w:p>
        </w:tc>
        <w:tc>
          <w:tcPr>
            <w:tcW w:w="1260" w:type="dxa"/>
          </w:tcPr>
          <w:p w14:paraId="7A2D43DF" w14:textId="4A3C5129" w:rsidR="000A29F4" w:rsidRDefault="000A29F4">
            <w:pPr>
              <w:pStyle w:val="TableParagraph"/>
              <w:spacing w:before="82" w:line="199" w:lineRule="auto"/>
              <w:ind w:left="90" w:right="245"/>
              <w:rPr>
                <w:sz w:val="17"/>
                <w:lang w:eastAsia="zh-CN"/>
              </w:rPr>
            </w:pPr>
          </w:p>
        </w:tc>
        <w:tc>
          <w:tcPr>
            <w:tcW w:w="1710" w:type="dxa"/>
            <w:vMerge w:val="restart"/>
          </w:tcPr>
          <w:p w14:paraId="3591CD28" w14:textId="77777777" w:rsidR="000A29F4" w:rsidRDefault="00EA019F">
            <w:pPr>
              <w:pStyle w:val="TableParagraph"/>
              <w:spacing w:before="50" w:line="239" w:lineRule="exact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常见</w:t>
            </w:r>
            <w:proofErr w:type="spellEnd"/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：</w:t>
            </w:r>
          </w:p>
          <w:p w14:paraId="357836D9" w14:textId="77777777" w:rsidR="000A29F4" w:rsidRDefault="00EA019F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恶心</w:t>
            </w:r>
          </w:p>
          <w:p w14:paraId="5FDCE8F7" w14:textId="77777777" w:rsidR="000A29F4" w:rsidRDefault="00EA019F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呕吐</w:t>
            </w:r>
          </w:p>
          <w:p w14:paraId="38E2262B" w14:textId="77777777" w:rsidR="000A29F4" w:rsidRDefault="00EA019F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腹泻</w:t>
            </w:r>
          </w:p>
          <w:p w14:paraId="56DF22AD" w14:textId="77777777" w:rsidR="000A29F4" w:rsidRDefault="00EA019F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便秘</w:t>
            </w:r>
          </w:p>
          <w:p w14:paraId="494225A2" w14:textId="77777777" w:rsidR="000A29F4" w:rsidRDefault="00EA019F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39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胃轻瘫</w:t>
            </w:r>
          </w:p>
          <w:p w14:paraId="09AA8914" w14:textId="77777777" w:rsidR="000A29F4" w:rsidRDefault="00EA019F">
            <w:pPr>
              <w:pStyle w:val="TableParagraph"/>
              <w:spacing w:before="171" w:line="239" w:lineRule="exact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不常见：</w:t>
            </w:r>
          </w:p>
          <w:p w14:paraId="6E5973D8" w14:textId="77777777" w:rsidR="000A29F4" w:rsidRDefault="00EA019F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胰腺炎</w:t>
            </w:r>
          </w:p>
          <w:p w14:paraId="78BE0C6B" w14:textId="77777777" w:rsidR="000A29F4" w:rsidRDefault="00EA019F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w w:val="90"/>
                <w:sz w:val="17"/>
              </w:rPr>
              <w:t>肠</w:t>
            </w:r>
            <w:r>
              <w:rPr>
                <w:rFonts w:eastAsia="宋体"/>
                <w:color w:val="231F20"/>
                <w:w w:val="90"/>
                <w:sz w:val="17"/>
              </w:rPr>
              <w:t xml:space="preserve"> </w:t>
            </w:r>
            <w:r>
              <w:rPr>
                <w:rFonts w:eastAsia="宋体"/>
                <w:color w:val="231F20"/>
                <w:spacing w:val="-2"/>
                <w:sz w:val="17"/>
              </w:rPr>
              <w:t>梗阻</w:t>
            </w:r>
          </w:p>
          <w:p w14:paraId="2DEF54E4" w14:textId="77777777" w:rsidR="000A29F4" w:rsidRDefault="00EA019F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39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胆石病</w:t>
            </w:r>
          </w:p>
        </w:tc>
        <w:tc>
          <w:tcPr>
            <w:tcW w:w="3060" w:type="dxa"/>
            <w:vMerge w:val="restart"/>
          </w:tcPr>
          <w:p w14:paraId="51987795" w14:textId="77777777" w:rsidR="000A29F4" w:rsidRDefault="00EA019F">
            <w:pPr>
              <w:pStyle w:val="TableParagraph"/>
              <w:spacing w:before="83" w:line="199" w:lineRule="auto"/>
              <w:ind w:left="269" w:right="70" w:hanging="180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spacing w:val="-4"/>
                <w:sz w:val="17"/>
                <w:lang w:eastAsia="zh-CN"/>
              </w:rPr>
              <w:t>优先使用不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需调整剂量且</w:t>
            </w:r>
            <w:r>
              <w:rPr>
                <w:rFonts w:eastAsia="宋体"/>
                <w:color w:val="231F20"/>
                <w:spacing w:val="-6"/>
                <w:sz w:val="17"/>
                <w:lang w:eastAsia="zh-CN"/>
              </w:rPr>
              <w:t>有心血管、肾脏和死亡率益处的药物：</w:t>
            </w:r>
            <w:hyperlink w:anchor="_bookmark8" w:history="1">
              <w:r>
                <w:rPr>
                  <w:color w:val="231F20"/>
                  <w:spacing w:val="-6"/>
                  <w:position w:val="6"/>
                  <w:sz w:val="10"/>
                  <w:lang w:eastAsia="zh-CN"/>
                </w:rPr>
                <w:t>5</w:t>
              </w:r>
            </w:hyperlink>
          </w:p>
          <w:p w14:paraId="61307747" w14:textId="77777777" w:rsidR="000A29F4" w:rsidRDefault="00EA019F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spacing w:line="203" w:lineRule="exact"/>
              <w:ind w:left="268" w:hanging="179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司美格鲁肽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（注射剂）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*</w:t>
            </w:r>
          </w:p>
          <w:p w14:paraId="1B5CCB11" w14:textId="77777777" w:rsidR="000A29F4" w:rsidRDefault="00EA019F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利拉鲁肽</w:t>
            </w:r>
            <w:proofErr w:type="spellEnd"/>
          </w:p>
          <w:p w14:paraId="51E710B5" w14:textId="1C67AB24" w:rsidR="000A29F4" w:rsidRDefault="00EA019F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spacing w:line="239" w:lineRule="exact"/>
              <w:ind w:left="268" w:hanging="179"/>
              <w:rPr>
                <w:sz w:val="17"/>
              </w:rPr>
            </w:pPr>
            <w:proofErr w:type="spellStart"/>
            <w:proofErr w:type="gramStart"/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度拉</w:t>
            </w:r>
            <w:proofErr w:type="spellEnd"/>
            <w:r w:rsidR="00615F46">
              <w:rPr>
                <w:rFonts w:eastAsia="宋体" w:hint="eastAsia"/>
                <w:color w:val="231F20"/>
                <w:spacing w:val="-2"/>
                <w:w w:val="95"/>
                <w:sz w:val="17"/>
                <w:lang w:eastAsia="zh-CN"/>
              </w:rPr>
              <w:t>糖</w:t>
            </w: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肽</w:t>
            </w:r>
            <w:proofErr w:type="gramEnd"/>
          </w:p>
          <w:p w14:paraId="2878DF2D" w14:textId="77777777" w:rsidR="000A29F4" w:rsidRDefault="00EA019F">
            <w:pPr>
              <w:pStyle w:val="TableParagraph"/>
              <w:spacing w:before="202" w:line="199" w:lineRule="auto"/>
              <w:ind w:left="269" w:right="70" w:hanging="180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*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注：仅</w:t>
            </w:r>
            <w:proofErr w:type="gramStart"/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有司美</w:t>
            </w:r>
            <w:proofErr w:type="gramEnd"/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格鲁肽在慢性肾病患者中进行了研究。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"_bookmark11" </w:instrText>
            </w:r>
            <w:r w:rsidR="00C80D18">
              <w:fldChar w:fldCharType="separate"/>
            </w:r>
            <w:r>
              <w:rPr>
                <w:color w:val="231F20"/>
                <w:spacing w:val="-2"/>
                <w:w w:val="95"/>
                <w:position w:val="6"/>
                <w:sz w:val="10"/>
                <w:lang w:eastAsia="zh-CN"/>
              </w:rPr>
              <w:t>5,8</w:t>
            </w:r>
            <w:r w:rsidR="00C80D18">
              <w:rPr>
                <w:color w:val="231F20"/>
                <w:spacing w:val="-2"/>
                <w:w w:val="95"/>
                <w:position w:val="6"/>
                <w:sz w:val="10"/>
              </w:rPr>
              <w:fldChar w:fldCharType="end"/>
            </w:r>
            <w:r>
              <w:rPr>
                <w:color w:val="231F20"/>
                <w:spacing w:val="40"/>
                <w:position w:val="6"/>
                <w:sz w:val="10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其他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GLP-1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类类风湿关节炎的益处是从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2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型糖尿病患者的试验中推导出来的，这些试验通常保留了肾功能。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"_bookmark8" </w:instrText>
            </w:r>
            <w:r w:rsidR="00C80D18">
              <w:fldChar w:fldCharType="separate"/>
            </w:r>
            <w:r>
              <w:rPr>
                <w:color w:val="231F20"/>
                <w:spacing w:val="-2"/>
                <w:w w:val="85"/>
                <w:position w:val="6"/>
                <w:sz w:val="10"/>
              </w:rPr>
              <w:t>5</w:t>
            </w:r>
            <w:r w:rsidR="00C80D18">
              <w:rPr>
                <w:color w:val="231F20"/>
                <w:spacing w:val="-2"/>
                <w:w w:val="85"/>
                <w:position w:val="6"/>
                <w:sz w:val="10"/>
              </w:rPr>
              <w:fldChar w:fldCharType="end"/>
            </w:r>
          </w:p>
        </w:tc>
      </w:tr>
      <w:tr w:rsidR="000A29F4" w14:paraId="181DAB99" w14:textId="77777777">
        <w:trPr>
          <w:trHeight w:val="1647"/>
        </w:trPr>
        <w:tc>
          <w:tcPr>
            <w:tcW w:w="2070" w:type="dxa"/>
          </w:tcPr>
          <w:p w14:paraId="7171A61A" w14:textId="77777777" w:rsidR="00615F46" w:rsidRPr="00615F46" w:rsidRDefault="00615F46" w:rsidP="00615F46">
            <w:pPr>
              <w:pStyle w:val="TableParagraph"/>
              <w:spacing w:before="49"/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</w:pPr>
            <w:proofErr w:type="gramStart"/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度拉糖肽</w:t>
            </w:r>
            <w:proofErr w:type="gramEnd"/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，度易达</w:t>
            </w:r>
          </w:p>
          <w:p w14:paraId="19957BDB" w14:textId="2FFE1813" w:rsidR="000A29F4" w:rsidRDefault="00615F46" w:rsidP="00615F46">
            <w:pPr>
              <w:pStyle w:val="TableParagraph"/>
              <w:spacing w:line="228" w:lineRule="exact"/>
              <w:rPr>
                <w:sz w:val="17"/>
                <w:lang w:eastAsia="zh-CN"/>
              </w:rPr>
            </w:pP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一次性预填充注射笔，</w:t>
            </w:r>
            <w:r w:rsidRPr="00615F46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>0.75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毫克，</w:t>
            </w:r>
            <w:r w:rsidRPr="00615F46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>1.5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毫克</w:t>
            </w:r>
          </w:p>
        </w:tc>
        <w:tc>
          <w:tcPr>
            <w:tcW w:w="1890" w:type="dxa"/>
          </w:tcPr>
          <w:p w14:paraId="16BD4485" w14:textId="77777777" w:rsidR="000A29F4" w:rsidRDefault="00EA019F">
            <w:pPr>
              <w:pStyle w:val="TableParagraph"/>
              <w:spacing w:before="81" w:line="199" w:lineRule="auto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>初始剂量：</w:t>
            </w: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每周减量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0.75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;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可增加至。</w:t>
            </w:r>
          </w:p>
          <w:p w14:paraId="75FA727D" w14:textId="77777777" w:rsidR="000A29F4" w:rsidRDefault="00EA019F">
            <w:pPr>
              <w:pStyle w:val="TableParagraph"/>
              <w:spacing w:line="199" w:lineRule="auto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1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周后，每周减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速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1.5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 xml:space="preserve"> </w:t>
            </w:r>
          </w:p>
          <w:p w14:paraId="24070CE3" w14:textId="77777777" w:rsidR="000A29F4" w:rsidRDefault="00EA019F">
            <w:pPr>
              <w:pStyle w:val="TableParagraph"/>
              <w:spacing w:line="199" w:lineRule="auto"/>
              <w:ind w:right="272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4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周剂量调整，</w:t>
            </w:r>
            <w:r>
              <w:rPr>
                <w:rFonts w:ascii="Arial Black" w:eastAsia="宋体"/>
                <w:color w:val="231F20"/>
                <w:w w:val="90"/>
                <w:sz w:val="17"/>
                <w:lang w:eastAsia="zh-CN"/>
              </w:rPr>
              <w:t>最大：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每周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4.5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毫克次切片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剂量</w:t>
            </w:r>
          </w:p>
        </w:tc>
        <w:tc>
          <w:tcPr>
            <w:tcW w:w="810" w:type="dxa"/>
          </w:tcPr>
          <w:p w14:paraId="3D863476" w14:textId="1BCF5960" w:rsidR="000A29F4" w:rsidRDefault="000A29F4">
            <w:pPr>
              <w:pStyle w:val="TableParagraph"/>
              <w:spacing w:before="51"/>
              <w:rPr>
                <w:sz w:val="17"/>
              </w:rPr>
            </w:pPr>
          </w:p>
        </w:tc>
        <w:tc>
          <w:tcPr>
            <w:tcW w:w="1260" w:type="dxa"/>
          </w:tcPr>
          <w:p w14:paraId="60975E18" w14:textId="02EEBCD8" w:rsidR="000A29F4" w:rsidRDefault="000A29F4">
            <w:pPr>
              <w:pStyle w:val="TableParagraph"/>
              <w:spacing w:before="51"/>
              <w:rPr>
                <w:sz w:val="17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2A01A6A5" w14:textId="77777777" w:rsidR="000A29F4" w:rsidRDefault="000A29F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1C62DF4F" w14:textId="77777777" w:rsidR="000A29F4" w:rsidRDefault="000A29F4">
            <w:pPr>
              <w:rPr>
                <w:sz w:val="2"/>
                <w:szCs w:val="2"/>
              </w:rPr>
            </w:pPr>
          </w:p>
        </w:tc>
      </w:tr>
      <w:tr w:rsidR="000A29F4" w14:paraId="5377E591" w14:textId="77777777">
        <w:trPr>
          <w:trHeight w:val="1431"/>
        </w:trPr>
        <w:tc>
          <w:tcPr>
            <w:tcW w:w="2070" w:type="dxa"/>
          </w:tcPr>
          <w:p w14:paraId="73597E83" w14:textId="77777777" w:rsidR="00615F46" w:rsidRPr="00615F46" w:rsidRDefault="00615F46" w:rsidP="00615F46">
            <w:pPr>
              <w:pStyle w:val="TableParagraph"/>
              <w:spacing w:before="50"/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</w:pP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利拉鲁肽，诺和力</w:t>
            </w:r>
          </w:p>
          <w:p w14:paraId="182A57CE" w14:textId="4B57567C" w:rsidR="000A29F4" w:rsidRDefault="00615F46" w:rsidP="00615F46">
            <w:pPr>
              <w:pStyle w:val="TableParagraph"/>
              <w:spacing w:before="23" w:line="199" w:lineRule="auto"/>
              <w:ind w:right="301"/>
              <w:jc w:val="both"/>
              <w:rPr>
                <w:sz w:val="17"/>
                <w:lang w:eastAsia="zh-CN"/>
              </w:rPr>
            </w:pP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预填充注射笔：</w:t>
            </w:r>
            <w:r w:rsidRPr="00615F46">
              <w:rPr>
                <w:rFonts w:ascii="Arial Black" w:eastAsia="宋体"/>
                <w:color w:val="231F20"/>
                <w:spacing w:val="-2"/>
                <w:w w:val="95"/>
                <w:sz w:val="17"/>
                <w:lang w:eastAsia="zh-CN"/>
              </w:rPr>
              <w:t xml:space="preserve">18 </w:t>
            </w:r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毫克。</w:t>
            </w:r>
          </w:p>
        </w:tc>
        <w:tc>
          <w:tcPr>
            <w:tcW w:w="1890" w:type="dxa"/>
          </w:tcPr>
          <w:p w14:paraId="2B773B40" w14:textId="77777777" w:rsidR="000A29F4" w:rsidRDefault="00EA019F">
            <w:pPr>
              <w:pStyle w:val="TableParagraph"/>
              <w:spacing w:before="82" w:line="199" w:lineRule="auto"/>
              <w:ind w:right="221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>初始剂量：</w:t>
            </w: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每天减速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0.6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毫克，持续一周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;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然后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增加至每日减速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1.2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毫克</w:t>
            </w:r>
          </w:p>
          <w:p w14:paraId="1828CFAF" w14:textId="77777777" w:rsidR="000A29F4" w:rsidRDefault="00EA019F">
            <w:pPr>
              <w:pStyle w:val="TableParagraph"/>
              <w:spacing w:line="199" w:lineRule="auto"/>
              <w:ind w:right="314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spacing w:val="-2"/>
                <w:w w:val="85"/>
                <w:sz w:val="17"/>
                <w:lang w:eastAsia="zh-CN"/>
              </w:rPr>
              <w:t>最大剂量：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每天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1.8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毫克次切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 xml:space="preserve"> </w:t>
            </w:r>
          </w:p>
        </w:tc>
        <w:tc>
          <w:tcPr>
            <w:tcW w:w="810" w:type="dxa"/>
          </w:tcPr>
          <w:p w14:paraId="70B42059" w14:textId="4EC7D58E" w:rsidR="000A29F4" w:rsidRDefault="000A29F4">
            <w:pPr>
              <w:pStyle w:val="TableParagraph"/>
              <w:spacing w:before="51"/>
              <w:rPr>
                <w:sz w:val="17"/>
              </w:rPr>
            </w:pPr>
          </w:p>
        </w:tc>
        <w:tc>
          <w:tcPr>
            <w:tcW w:w="1260" w:type="dxa"/>
          </w:tcPr>
          <w:p w14:paraId="4949E3E1" w14:textId="7CA48679" w:rsidR="000A29F4" w:rsidRDefault="000A29F4">
            <w:pPr>
              <w:pStyle w:val="TableParagraph"/>
              <w:spacing w:before="51"/>
              <w:rPr>
                <w:sz w:val="17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32B7F7CB" w14:textId="77777777" w:rsidR="000A29F4" w:rsidRDefault="000A29F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56AA0468" w14:textId="77777777" w:rsidR="000A29F4" w:rsidRDefault="000A29F4">
            <w:pPr>
              <w:rPr>
                <w:sz w:val="2"/>
                <w:szCs w:val="2"/>
              </w:rPr>
            </w:pPr>
          </w:p>
        </w:tc>
      </w:tr>
      <w:tr w:rsidR="000A29F4" w14:paraId="07260AFB" w14:textId="77777777">
        <w:trPr>
          <w:trHeight w:val="567"/>
        </w:trPr>
        <w:tc>
          <w:tcPr>
            <w:tcW w:w="10800" w:type="dxa"/>
            <w:gridSpan w:val="6"/>
          </w:tcPr>
          <w:p w14:paraId="39AED912" w14:textId="77777777" w:rsidR="000A29F4" w:rsidRDefault="00EA019F">
            <w:pPr>
              <w:pStyle w:val="TableParagraph"/>
              <w:spacing w:before="51" w:line="228" w:lineRule="exact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二氢吡啶钙通道阻滞剂（例如氨氯地平）</w:t>
            </w:r>
          </w:p>
          <w:p w14:paraId="03CA68E0" w14:textId="54CCEA10" w:rsidR="000A29F4" w:rsidRDefault="000A29F4">
            <w:pPr>
              <w:pStyle w:val="TableParagraph"/>
              <w:spacing w:line="250" w:lineRule="exact"/>
              <w:rPr>
                <w:sz w:val="17"/>
              </w:rPr>
            </w:pPr>
          </w:p>
        </w:tc>
      </w:tr>
      <w:tr w:rsidR="000A29F4" w14:paraId="312FF6CA" w14:textId="77777777">
        <w:trPr>
          <w:trHeight w:val="567"/>
        </w:trPr>
        <w:tc>
          <w:tcPr>
            <w:tcW w:w="10800" w:type="dxa"/>
            <w:gridSpan w:val="6"/>
          </w:tcPr>
          <w:p w14:paraId="597FFC19" w14:textId="77777777" w:rsidR="000A29F4" w:rsidRDefault="00EA019F">
            <w:pPr>
              <w:pStyle w:val="TableParagraph"/>
              <w:spacing w:before="51" w:line="228" w:lineRule="exact"/>
              <w:rPr>
                <w:rFonts w:ascii="Arial Black"/>
                <w:sz w:val="17"/>
              </w:rPr>
            </w:pPr>
            <w:r>
              <w:rPr>
                <w:rFonts w:ascii="Arial Black" w:eastAsia="宋体"/>
                <w:color w:val="231F20"/>
                <w:spacing w:val="-2"/>
                <w:w w:val="90"/>
                <w:sz w:val="17"/>
              </w:rPr>
              <w:t>利尿剂</w:t>
            </w:r>
          </w:p>
          <w:p w14:paraId="1DF73EC6" w14:textId="63587D54" w:rsidR="000A29F4" w:rsidRDefault="000A29F4">
            <w:pPr>
              <w:pStyle w:val="TableParagraph"/>
              <w:spacing w:line="250" w:lineRule="exact"/>
              <w:rPr>
                <w:sz w:val="17"/>
              </w:rPr>
            </w:pPr>
          </w:p>
        </w:tc>
      </w:tr>
      <w:tr w:rsidR="000A29F4" w14:paraId="7DBB133B" w14:textId="77777777">
        <w:trPr>
          <w:trHeight w:val="1863"/>
        </w:trPr>
        <w:tc>
          <w:tcPr>
            <w:tcW w:w="6030" w:type="dxa"/>
            <w:gridSpan w:val="4"/>
          </w:tcPr>
          <w:p w14:paraId="18F53DFA" w14:textId="77777777" w:rsidR="00615F46" w:rsidRDefault="00615F46">
            <w:pPr>
              <w:pStyle w:val="TableParagraph"/>
              <w:spacing w:before="85" w:line="199" w:lineRule="auto"/>
              <w:ind w:left="90" w:right="198"/>
              <w:rPr>
                <w:rFonts w:eastAsia="宋体"/>
                <w:color w:val="231F20"/>
                <w:w w:val="85"/>
                <w:sz w:val="17"/>
                <w:lang w:eastAsia="zh-CN"/>
              </w:rPr>
            </w:pPr>
            <w:r w:rsidRPr="00615F46">
              <w:rPr>
                <w:rFonts w:eastAsia="宋体" w:hint="eastAsia"/>
                <w:color w:val="231F20"/>
                <w:w w:val="85"/>
                <w:sz w:val="17"/>
                <w:lang w:eastAsia="zh-CN"/>
              </w:rPr>
              <w:t>在针对原发性高血压患者开展的随机对照试验中，研究人员考察了降压药物对心血管结局的影响，其中纳入了慢性肾脏病（</w:t>
            </w:r>
            <w:r w:rsidRPr="00615F46">
              <w:rPr>
                <w:rFonts w:eastAsia="宋体"/>
                <w:color w:val="231F20"/>
                <w:w w:val="85"/>
                <w:sz w:val="17"/>
                <w:lang w:eastAsia="zh-CN"/>
              </w:rPr>
              <w:t>CKD</w:t>
            </w:r>
            <w:r w:rsidRPr="00615F46">
              <w:rPr>
                <w:rFonts w:eastAsia="宋体" w:hint="eastAsia"/>
                <w:color w:val="231F20"/>
                <w:w w:val="85"/>
                <w:sz w:val="17"/>
                <w:lang w:eastAsia="zh-CN"/>
              </w:rPr>
              <w:t>）患者。结果显示，</w:t>
            </w:r>
            <w:proofErr w:type="gramStart"/>
            <w:r w:rsidRPr="00615F46">
              <w:rPr>
                <w:rFonts w:eastAsia="宋体" w:hint="eastAsia"/>
                <w:color w:val="231F20"/>
                <w:w w:val="85"/>
                <w:sz w:val="17"/>
                <w:lang w:eastAsia="zh-CN"/>
              </w:rPr>
              <w:t>噻嗪</w:t>
            </w:r>
            <w:proofErr w:type="gramEnd"/>
            <w:r w:rsidRPr="00615F46">
              <w:rPr>
                <w:rFonts w:eastAsia="宋体" w:hint="eastAsia"/>
                <w:color w:val="231F20"/>
                <w:w w:val="85"/>
                <w:sz w:val="17"/>
                <w:lang w:eastAsia="zh-CN"/>
              </w:rPr>
              <w:t>类利尿剂（例如氢氯</w:t>
            </w:r>
            <w:proofErr w:type="gramStart"/>
            <w:r w:rsidRPr="00615F46">
              <w:rPr>
                <w:rFonts w:eastAsia="宋体" w:hint="eastAsia"/>
                <w:color w:val="231F20"/>
                <w:w w:val="85"/>
                <w:sz w:val="17"/>
                <w:lang w:eastAsia="zh-CN"/>
              </w:rPr>
              <w:t>噻嗪</w:t>
            </w:r>
            <w:proofErr w:type="gramEnd"/>
            <w:r w:rsidRPr="00615F46">
              <w:rPr>
                <w:rFonts w:eastAsia="宋体" w:hint="eastAsia"/>
                <w:color w:val="231F20"/>
                <w:w w:val="85"/>
                <w:sz w:val="17"/>
                <w:lang w:eastAsia="zh-CN"/>
              </w:rPr>
              <w:t>、氯</w:t>
            </w:r>
            <w:proofErr w:type="gramStart"/>
            <w:r w:rsidRPr="00615F46">
              <w:rPr>
                <w:rFonts w:eastAsia="宋体" w:hint="eastAsia"/>
                <w:color w:val="231F20"/>
                <w:w w:val="85"/>
                <w:sz w:val="17"/>
                <w:lang w:eastAsia="zh-CN"/>
              </w:rPr>
              <w:t>噻</w:t>
            </w:r>
            <w:proofErr w:type="gramEnd"/>
            <w:r w:rsidRPr="00615F46">
              <w:rPr>
                <w:rFonts w:eastAsia="宋体" w:hint="eastAsia"/>
                <w:color w:val="231F20"/>
                <w:w w:val="85"/>
                <w:sz w:val="17"/>
                <w:lang w:eastAsia="zh-CN"/>
              </w:rPr>
              <w:t>酮等）的心血管获益最为显著。</w:t>
            </w:r>
          </w:p>
          <w:p w14:paraId="71356A29" w14:textId="258C7871" w:rsidR="000A29F4" w:rsidRDefault="00EA019F">
            <w:pPr>
              <w:pStyle w:val="TableParagraph"/>
              <w:spacing w:before="85" w:line="199" w:lineRule="auto"/>
              <w:ind w:left="90" w:right="198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目前尚无关于</w:t>
            </w:r>
            <w:proofErr w:type="gramStart"/>
            <w:r w:rsidR="00615F46" w:rsidRPr="00615F46">
              <w:rPr>
                <w:rFonts w:eastAsia="宋体" w:hint="eastAsia"/>
                <w:color w:val="231F20"/>
                <w:w w:val="85"/>
                <w:sz w:val="17"/>
                <w:lang w:eastAsia="zh-CN"/>
              </w:rPr>
              <w:t>袢</w:t>
            </w:r>
            <w:proofErr w:type="gramEnd"/>
            <w:r w:rsidR="00615F46" w:rsidRPr="00615F46">
              <w:rPr>
                <w:rFonts w:eastAsia="宋体" w:hint="eastAsia"/>
                <w:color w:val="231F20"/>
                <w:w w:val="85"/>
                <w:sz w:val="17"/>
                <w:lang w:eastAsia="zh-CN"/>
              </w:rPr>
              <w:t>利尿剂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（如</w:t>
            </w: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呋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塞米）在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治疗高血压中（无论是否伴慢性肾病）的临床结局数据。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"_bookmark12" </w:instrText>
            </w:r>
            <w:r w:rsidR="00C80D18">
              <w:fldChar w:fldCharType="separate"/>
            </w:r>
            <w:r>
              <w:rPr>
                <w:color w:val="231F20"/>
                <w:w w:val="90"/>
                <w:position w:val="6"/>
                <w:sz w:val="10"/>
                <w:lang w:eastAsia="zh-CN"/>
              </w:rPr>
              <w:t>9</w:t>
            </w:r>
            <w:r w:rsidR="00C80D18">
              <w:rPr>
                <w:color w:val="231F20"/>
                <w:w w:val="90"/>
                <w:position w:val="6"/>
                <w:sz w:val="10"/>
              </w:rPr>
              <w:fldChar w:fldCharType="end"/>
            </w:r>
          </w:p>
        </w:tc>
        <w:tc>
          <w:tcPr>
            <w:tcW w:w="4770" w:type="dxa"/>
            <w:gridSpan w:val="2"/>
          </w:tcPr>
          <w:p w14:paraId="6D565760" w14:textId="77777777" w:rsidR="00615F46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right="247"/>
              <w:jc w:val="both"/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对于肾小球滤过率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(GFR) &lt; 30 ml/min/1.73m²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的患者，氯</w:t>
            </w:r>
            <w:proofErr w:type="gramStart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噻</w:t>
            </w:r>
            <w:proofErr w:type="gramEnd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酮、</w:t>
            </w:r>
            <w:proofErr w:type="gramStart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吲达帕胺</w:t>
            </w:r>
            <w:proofErr w:type="gramEnd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和美托拉宗似乎仍能有效降低血压和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>/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或利尿。</w:t>
            </w:r>
          </w:p>
          <w:p w14:paraId="2462F7B6" w14:textId="77777777" w:rsidR="00615F46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right="247"/>
              <w:jc w:val="both"/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proofErr w:type="gramStart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袢</w:t>
            </w:r>
            <w:proofErr w:type="gramEnd"/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利尿剂在肾小球滤过率较低（即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>&lt;30 ml/min/1.73 m²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）时有效。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</w:p>
          <w:p w14:paraId="04885896" w14:textId="03C5C216" w:rsidR="000A29F4" w:rsidRPr="00615F46" w:rsidRDefault="00615F46" w:rsidP="00615F46">
            <w:pPr>
              <w:pStyle w:val="TableParagraph"/>
              <w:tabs>
                <w:tab w:val="left" w:pos="269"/>
              </w:tabs>
              <w:spacing w:line="199" w:lineRule="auto"/>
              <w:ind w:left="0" w:right="247" w:firstLineChars="100" w:firstLine="170"/>
              <w:jc w:val="both"/>
              <w:rPr>
                <w:rFonts w:asciiTheme="minorEastAsia" w:eastAsiaTheme="minorEastAsia" w:hAnsiTheme="minorEastAsia" w:hint="eastAsia"/>
                <w:position w:val="6"/>
                <w:sz w:val="17"/>
                <w:szCs w:val="17"/>
                <w:lang w:eastAsia="zh-CN"/>
              </w:rPr>
            </w:pPr>
            <w:r w:rsidRPr="00615F46">
              <w:rPr>
                <w:rFonts w:ascii="宋体" w:eastAsia="宋体" w:hAnsi="宋体" w:hint="eastAsia"/>
                <w:position w:val="6"/>
                <w:sz w:val="17"/>
                <w:szCs w:val="17"/>
                <w:lang w:eastAsia="zh-CN"/>
              </w:rPr>
              <w:t>•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长期禁食、重病、急性不良反应处理期间或手术前</w:t>
            </w:r>
            <w:r w:rsidRPr="00615F46">
              <w:rPr>
                <w:rFonts w:ascii="宋体" w:eastAsia="宋体" w:hAnsi="宋体"/>
                <w:position w:val="6"/>
                <w:sz w:val="17"/>
                <w:szCs w:val="17"/>
                <w:lang w:eastAsia="zh-CN"/>
              </w:rPr>
              <w:t xml:space="preserve"> 48-72 </w:t>
            </w:r>
            <w:r w:rsidRPr="00615F46">
              <w:rPr>
                <w:rFonts w:ascii="宋体" w:eastAsia="宋体" w:hAnsi="宋体" w:cs="微软雅黑" w:hint="eastAsia"/>
                <w:position w:val="6"/>
                <w:sz w:val="17"/>
                <w:szCs w:val="17"/>
                <w:lang w:eastAsia="zh-CN"/>
              </w:rPr>
              <w:t>小时内禁用；必须有重启计划。</w:t>
            </w:r>
          </w:p>
        </w:tc>
      </w:tr>
    </w:tbl>
    <w:p w14:paraId="0CDDCD1A" w14:textId="77777777" w:rsidR="000A29F4" w:rsidRDefault="000A29F4">
      <w:pPr>
        <w:pStyle w:val="TableParagraph"/>
        <w:spacing w:line="199" w:lineRule="auto"/>
        <w:jc w:val="both"/>
        <w:rPr>
          <w:position w:val="6"/>
          <w:sz w:val="10"/>
          <w:lang w:eastAsia="zh-CN"/>
        </w:rPr>
        <w:sectPr w:rsidR="000A29F4">
          <w:pgSz w:w="12240" w:h="15840"/>
          <w:pgMar w:top="700" w:right="360" w:bottom="700" w:left="720" w:header="0" w:footer="51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298EC1"/>
          <w:left w:val="single" w:sz="4" w:space="0" w:color="298EC1"/>
          <w:bottom w:val="single" w:sz="4" w:space="0" w:color="298EC1"/>
          <w:right w:val="single" w:sz="4" w:space="0" w:color="298EC1"/>
          <w:insideH w:val="single" w:sz="4" w:space="0" w:color="298EC1"/>
          <w:insideV w:val="single" w:sz="4" w:space="0" w:color="298EC1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890"/>
        <w:gridCol w:w="810"/>
        <w:gridCol w:w="1260"/>
        <w:gridCol w:w="1710"/>
        <w:gridCol w:w="3060"/>
      </w:tblGrid>
      <w:tr w:rsidR="000A29F4" w14:paraId="1E8B5A06" w14:textId="77777777">
        <w:trPr>
          <w:trHeight w:val="783"/>
        </w:trPr>
        <w:tc>
          <w:tcPr>
            <w:tcW w:w="2070" w:type="dxa"/>
            <w:shd w:val="clear" w:color="auto" w:fill="D3E0EE"/>
          </w:tcPr>
          <w:p w14:paraId="34120BEE" w14:textId="50BF2DFA" w:rsidR="000A29F4" w:rsidRDefault="00615F46">
            <w:pPr>
              <w:pStyle w:val="TableParagraph"/>
              <w:spacing w:before="49"/>
              <w:ind w:left="10"/>
              <w:jc w:val="center"/>
              <w:rPr>
                <w:rFonts w:ascii="Arial Black"/>
                <w:sz w:val="17"/>
              </w:rPr>
            </w:pPr>
            <w:r>
              <w:rPr>
                <w:rFonts w:ascii="Arial Black" w:eastAsia="宋体" w:hint="eastAsia"/>
                <w:color w:val="231F20"/>
                <w:w w:val="80"/>
                <w:sz w:val="17"/>
                <w:lang w:eastAsia="zh-CN"/>
              </w:rPr>
              <w:lastRenderedPageBreak/>
              <w:t>药</w:t>
            </w:r>
            <w:r w:rsidR="00EA019F">
              <w:rPr>
                <w:rFonts w:ascii="Arial Black" w:eastAsia="宋体"/>
                <w:color w:val="231F20"/>
                <w:w w:val="80"/>
                <w:sz w:val="17"/>
              </w:rPr>
              <w:t xml:space="preserve"> </w:t>
            </w:r>
            <w:r w:rsidR="00EA019F">
              <w:rPr>
                <w:rFonts w:ascii="Arial Black" w:eastAsia="宋体"/>
                <w:color w:val="231F20"/>
                <w:spacing w:val="-4"/>
                <w:w w:val="90"/>
                <w:sz w:val="17"/>
              </w:rPr>
              <w:t>名</w:t>
            </w:r>
          </w:p>
          <w:p w14:paraId="336066C1" w14:textId="1377F4DC" w:rsidR="000A29F4" w:rsidRDefault="000A29F4">
            <w:pPr>
              <w:pStyle w:val="TableParagraph"/>
              <w:spacing w:before="2" w:line="200" w:lineRule="exact"/>
              <w:ind w:left="10"/>
              <w:jc w:val="center"/>
              <w:rPr>
                <w:rFonts w:ascii="Calibri"/>
                <w:i/>
                <w:sz w:val="17"/>
              </w:rPr>
            </w:pPr>
          </w:p>
          <w:p w14:paraId="1452C3EC" w14:textId="77777777" w:rsidR="000A29F4" w:rsidRDefault="00EA019F">
            <w:pPr>
              <w:pStyle w:val="TableParagraph"/>
              <w:spacing w:line="253" w:lineRule="exact"/>
              <w:ind w:left="10"/>
              <w:jc w:val="center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剂型与浓度</w:t>
            </w:r>
          </w:p>
        </w:tc>
        <w:tc>
          <w:tcPr>
            <w:tcW w:w="1890" w:type="dxa"/>
            <w:shd w:val="clear" w:color="auto" w:fill="D3E0EE"/>
          </w:tcPr>
          <w:p w14:paraId="4632E4FD" w14:textId="5C1B639F" w:rsidR="000A29F4" w:rsidRDefault="00EA019F">
            <w:pPr>
              <w:pStyle w:val="TableParagraph"/>
              <w:spacing w:before="68" w:line="216" w:lineRule="auto"/>
              <w:ind w:left="120" w:firstLine="253"/>
              <w:rPr>
                <w:position w:val="6"/>
                <w:sz w:val="10"/>
              </w:rPr>
            </w:pPr>
            <w:proofErr w:type="spellStart"/>
            <w:r>
              <w:rPr>
                <w:rFonts w:ascii="Arial Black" w:eastAsia="宋体"/>
                <w:color w:val="231F20"/>
                <w:spacing w:val="-2"/>
                <w:w w:val="90"/>
                <w:sz w:val="17"/>
              </w:rPr>
              <w:t>推荐</w:t>
            </w:r>
            <w:proofErr w:type="spellEnd"/>
            <w:r w:rsidR="00615F46">
              <w:rPr>
                <w:rFonts w:ascii="Arial Black" w:eastAsia="宋体" w:hint="eastAsia"/>
                <w:color w:val="231F20"/>
                <w:w w:val="80"/>
                <w:sz w:val="17"/>
                <w:lang w:eastAsia="zh-CN"/>
              </w:rPr>
              <w:t>剂量</w:t>
            </w:r>
          </w:p>
        </w:tc>
        <w:tc>
          <w:tcPr>
            <w:tcW w:w="810" w:type="dxa"/>
            <w:shd w:val="clear" w:color="auto" w:fill="D3E0EE"/>
          </w:tcPr>
          <w:p w14:paraId="298796DA" w14:textId="66CE4072" w:rsidR="000A29F4" w:rsidRDefault="000A29F4">
            <w:pPr>
              <w:pStyle w:val="TableParagraph"/>
              <w:spacing w:before="68" w:line="216" w:lineRule="auto"/>
              <w:ind w:right="77" w:firstLine="19"/>
              <w:jc w:val="both"/>
              <w:rPr>
                <w:position w:val="6"/>
                <w:sz w:val="10"/>
              </w:rPr>
            </w:pPr>
          </w:p>
        </w:tc>
        <w:tc>
          <w:tcPr>
            <w:tcW w:w="1260" w:type="dxa"/>
            <w:shd w:val="clear" w:color="auto" w:fill="D3E0EE"/>
          </w:tcPr>
          <w:p w14:paraId="51B2F3F9" w14:textId="2AC51BF5" w:rsidR="000A29F4" w:rsidRDefault="000A29F4">
            <w:pPr>
              <w:pStyle w:val="TableParagraph"/>
              <w:spacing w:before="68" w:line="216" w:lineRule="auto"/>
              <w:ind w:left="240" w:hanging="85"/>
              <w:rPr>
                <w:position w:val="6"/>
                <w:sz w:val="10"/>
              </w:rPr>
            </w:pPr>
          </w:p>
        </w:tc>
        <w:tc>
          <w:tcPr>
            <w:tcW w:w="1710" w:type="dxa"/>
            <w:shd w:val="clear" w:color="auto" w:fill="D3E0EE"/>
          </w:tcPr>
          <w:p w14:paraId="59467BEF" w14:textId="118B4955" w:rsidR="000A29F4" w:rsidRDefault="00EA019F">
            <w:pPr>
              <w:pStyle w:val="TableParagraph"/>
              <w:spacing w:before="49"/>
              <w:ind w:left="237"/>
              <w:rPr>
                <w:position w:val="6"/>
                <w:sz w:val="10"/>
              </w:rPr>
            </w:pPr>
            <w:proofErr w:type="spellStart"/>
            <w:r>
              <w:rPr>
                <w:rFonts w:ascii="Arial Black" w:eastAsia="宋体"/>
                <w:color w:val="231F20"/>
                <w:w w:val="80"/>
                <w:sz w:val="17"/>
              </w:rPr>
              <w:t>不良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</w:rPr>
              <w:t>反应</w:t>
            </w:r>
            <w:proofErr w:type="spellEnd"/>
            <w:r w:rsidR="00C80D18">
              <w:fldChar w:fldCharType="begin"/>
            </w:r>
            <w:r w:rsidR="00C80D18">
              <w:instrText xml:space="preserve"> HYPERLINK \l "_bookmark1" </w:instrText>
            </w:r>
            <w:r w:rsidR="00C80D18">
              <w:fldChar w:fldCharType="separate"/>
            </w:r>
            <w:r w:rsidR="00C80D18">
              <w:fldChar w:fldCharType="end"/>
            </w:r>
          </w:p>
        </w:tc>
        <w:tc>
          <w:tcPr>
            <w:tcW w:w="3060" w:type="dxa"/>
            <w:shd w:val="clear" w:color="auto" w:fill="D3E0EE"/>
          </w:tcPr>
          <w:p w14:paraId="000D6FEC" w14:textId="2788F548" w:rsidR="000A29F4" w:rsidRDefault="00EA019F">
            <w:pPr>
              <w:pStyle w:val="TableParagraph"/>
              <w:spacing w:before="68" w:line="216" w:lineRule="auto"/>
              <w:ind w:left="346" w:right="334" w:hanging="1"/>
              <w:jc w:val="center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药物相互作用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"_bookmark1" </w:instrText>
            </w:r>
            <w:r w:rsidR="00C80D18">
              <w:fldChar w:fldCharType="separate"/>
            </w:r>
            <w:r w:rsidR="00C80D18">
              <w:fldChar w:fldCharType="end"/>
            </w:r>
            <w:r>
              <w:rPr>
                <w:color w:val="231F20"/>
                <w:spacing w:val="-4"/>
                <w:w w:val="95"/>
                <w:position w:val="6"/>
                <w:sz w:val="10"/>
                <w:lang w:eastAsia="zh-CN"/>
              </w:rPr>
              <w:t xml:space="preserve"> </w:t>
            </w: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及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慢性肾病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>的治疗考虑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 xml:space="preserve"> </w:t>
            </w:r>
          </w:p>
        </w:tc>
      </w:tr>
      <w:tr w:rsidR="000A29F4" w14:paraId="7723E5C7" w14:textId="77777777">
        <w:trPr>
          <w:trHeight w:val="351"/>
        </w:trPr>
        <w:tc>
          <w:tcPr>
            <w:tcW w:w="10800" w:type="dxa"/>
            <w:gridSpan w:val="6"/>
          </w:tcPr>
          <w:p w14:paraId="63094EE0" w14:textId="2C801E75" w:rsidR="000A29F4" w:rsidRDefault="00EA019F">
            <w:pPr>
              <w:pStyle w:val="TableParagraph"/>
              <w:spacing w:before="49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非</w:t>
            </w:r>
            <w:proofErr w:type="gramStart"/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甾</w:t>
            </w:r>
            <w:proofErr w:type="gramEnd"/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体</w:t>
            </w:r>
            <w:r w:rsidR="00615F46">
              <w:rPr>
                <w:rFonts w:ascii="Arial Black" w:eastAsia="宋体" w:hint="eastAsia"/>
                <w:color w:val="231F20"/>
                <w:w w:val="80"/>
                <w:sz w:val="17"/>
                <w:lang w:eastAsia="zh-CN"/>
              </w:rPr>
              <w:t>类盐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皮质激素受体拮抗剂（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ns-MRA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）</w:t>
            </w:r>
          </w:p>
        </w:tc>
      </w:tr>
      <w:tr w:rsidR="000A29F4" w14:paraId="43210ADA" w14:textId="77777777">
        <w:trPr>
          <w:trHeight w:val="4887"/>
        </w:trPr>
        <w:tc>
          <w:tcPr>
            <w:tcW w:w="2070" w:type="dxa"/>
          </w:tcPr>
          <w:p w14:paraId="771B5A67" w14:textId="77777777" w:rsidR="00615F46" w:rsidRDefault="00615F46" w:rsidP="00615F46">
            <w:pPr>
              <w:pStyle w:val="TableParagraph"/>
              <w:spacing w:before="2" w:line="200" w:lineRule="exact"/>
              <w:rPr>
                <w:rFonts w:ascii="Calibri" w:eastAsia="宋体"/>
                <w:i/>
                <w:color w:val="231F20"/>
                <w:spacing w:val="-2"/>
                <w:sz w:val="17"/>
                <w:lang w:eastAsia="zh-CN"/>
              </w:rPr>
            </w:pPr>
            <w:proofErr w:type="gramStart"/>
            <w:r w:rsidRPr="00615F46">
              <w:rPr>
                <w:rFonts w:ascii="Arial Black" w:eastAsia="宋体" w:hint="eastAsia"/>
                <w:color w:val="231F20"/>
                <w:spacing w:val="-2"/>
                <w:w w:val="95"/>
                <w:sz w:val="17"/>
                <w:lang w:eastAsia="zh-CN"/>
              </w:rPr>
              <w:t>非奈利酮</w:t>
            </w:r>
            <w:proofErr w:type="gramEnd"/>
          </w:p>
          <w:p w14:paraId="36A69C5E" w14:textId="36305436" w:rsidR="000A29F4" w:rsidRDefault="00EA019F" w:rsidP="00615F46">
            <w:pPr>
              <w:pStyle w:val="TableParagraph"/>
              <w:spacing w:before="2" w:line="200" w:lineRule="exac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片剂：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10,20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毫克</w:t>
            </w:r>
          </w:p>
        </w:tc>
        <w:tc>
          <w:tcPr>
            <w:tcW w:w="1890" w:type="dxa"/>
          </w:tcPr>
          <w:p w14:paraId="30C98D74" w14:textId="77777777" w:rsidR="000A29F4" w:rsidRDefault="00EA019F">
            <w:pPr>
              <w:pStyle w:val="TableParagraph"/>
              <w:spacing w:before="82" w:line="199" w:lineRule="auto"/>
              <w:ind w:right="314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如果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eGFR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为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25 - 59 ml/min/1.73m²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，每天一次口服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10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 xml:space="preserve"> </w:t>
            </w:r>
          </w:p>
          <w:p w14:paraId="3F4463AC" w14:textId="77777777" w:rsidR="000A29F4" w:rsidRDefault="00EA019F">
            <w:pPr>
              <w:pStyle w:val="TableParagraph"/>
              <w:spacing w:before="213" w:line="199" w:lineRule="auto"/>
              <w:ind w:left="90" w:right="314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如果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eGFR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每日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一次口服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20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毫克</w:t>
            </w:r>
            <w:r>
              <w:rPr>
                <w:rFonts w:ascii="Symbol" w:eastAsia="宋体" w:hAnsi="Symbol"/>
                <w:color w:val="231F20"/>
                <w:w w:val="95"/>
                <w:sz w:val="17"/>
                <w:lang w:eastAsia="zh-CN"/>
              </w:rPr>
              <w:t>，剂量为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60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毫升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/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分钟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/1.73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平方米</w:t>
            </w:r>
          </w:p>
        </w:tc>
        <w:tc>
          <w:tcPr>
            <w:tcW w:w="810" w:type="dxa"/>
          </w:tcPr>
          <w:p w14:paraId="3DB090BB" w14:textId="0E9FA895" w:rsidR="000A29F4" w:rsidRDefault="000A29F4">
            <w:pPr>
              <w:pStyle w:val="TableParagraph"/>
              <w:spacing w:before="50"/>
              <w:ind w:left="90"/>
              <w:rPr>
                <w:sz w:val="17"/>
              </w:rPr>
            </w:pPr>
          </w:p>
        </w:tc>
        <w:tc>
          <w:tcPr>
            <w:tcW w:w="1260" w:type="dxa"/>
          </w:tcPr>
          <w:p w14:paraId="42EC3DAA" w14:textId="2CD8A787" w:rsidR="000A29F4" w:rsidRDefault="000A29F4">
            <w:pPr>
              <w:pStyle w:val="TableParagraph"/>
              <w:spacing w:line="199" w:lineRule="auto"/>
              <w:ind w:right="162"/>
              <w:rPr>
                <w:sz w:val="17"/>
                <w:lang w:eastAsia="zh-CN"/>
              </w:rPr>
            </w:pPr>
          </w:p>
        </w:tc>
        <w:tc>
          <w:tcPr>
            <w:tcW w:w="1710" w:type="dxa"/>
          </w:tcPr>
          <w:p w14:paraId="7C067660" w14:textId="77777777" w:rsidR="000A29F4" w:rsidRDefault="00EA019F">
            <w:pPr>
              <w:pStyle w:val="TableParagraph"/>
              <w:spacing w:before="50" w:line="239" w:lineRule="exact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常见</w:t>
            </w:r>
            <w:proofErr w:type="spellEnd"/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：</w:t>
            </w:r>
          </w:p>
          <w:p w14:paraId="1EF835FE" w14:textId="77777777" w:rsidR="000A29F4" w:rsidRDefault="00EA019F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before="10" w:line="199" w:lineRule="auto"/>
              <w:ind w:right="328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高钾血症</w:t>
            </w:r>
            <w:r>
              <w:rPr>
                <w:color w:val="231F20"/>
                <w:spacing w:val="-2"/>
                <w:w w:val="85"/>
                <w:sz w:val="17"/>
                <w:lang w:eastAsia="zh-CN"/>
              </w:rPr>
              <w:t>（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严重高钾血症住院罕见）</w:t>
            </w:r>
            <w:hyperlink w:anchor="_bookmark8" w:history="1">
              <w:r>
                <w:rPr>
                  <w:color w:val="231F20"/>
                  <w:spacing w:val="-2"/>
                  <w:w w:val="95"/>
                  <w:position w:val="6"/>
                  <w:sz w:val="10"/>
                  <w:lang w:eastAsia="zh-CN"/>
                </w:rPr>
                <w:t>5</w:t>
              </w:r>
            </w:hyperlink>
          </w:p>
          <w:p w14:paraId="333C0127" w14:textId="77777777" w:rsidR="000A29F4" w:rsidRDefault="00EA019F">
            <w:pPr>
              <w:pStyle w:val="TableParagraph"/>
              <w:spacing w:before="179" w:line="239" w:lineRule="exact"/>
              <w:ind w:left="90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w w:val="85"/>
                <w:sz w:val="17"/>
              </w:rPr>
              <w:t>较少</w:t>
            </w:r>
            <w:proofErr w:type="spellEnd"/>
            <w:r>
              <w:rPr>
                <w:rFonts w:eastAsia="宋体"/>
                <w:color w:val="231F20"/>
                <w:w w:val="85"/>
                <w:sz w:val="17"/>
              </w:rPr>
              <w:t xml:space="preserve"> </w:t>
            </w:r>
            <w:proofErr w:type="spellStart"/>
            <w:r>
              <w:rPr>
                <w:rFonts w:eastAsia="宋体"/>
                <w:color w:val="231F20"/>
                <w:spacing w:val="-2"/>
                <w:sz w:val="17"/>
              </w:rPr>
              <w:t>见的情况</w:t>
            </w:r>
            <w:proofErr w:type="spellEnd"/>
            <w:r>
              <w:rPr>
                <w:rFonts w:eastAsia="宋体"/>
                <w:color w:val="231F20"/>
                <w:spacing w:val="-2"/>
                <w:sz w:val="17"/>
              </w:rPr>
              <w:t>：</w:t>
            </w:r>
          </w:p>
          <w:p w14:paraId="200511A2" w14:textId="77777777" w:rsidR="000A29F4" w:rsidRDefault="00EA019F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216" w:lineRule="exact"/>
              <w:ind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低血压</w:t>
            </w:r>
          </w:p>
          <w:p w14:paraId="7D822CDE" w14:textId="77777777" w:rsidR="000A29F4" w:rsidRDefault="00EA019F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216" w:lineRule="exact"/>
              <w:ind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低钠血症</w:t>
            </w:r>
          </w:p>
          <w:p w14:paraId="0600499F" w14:textId="77777777" w:rsidR="000A29F4" w:rsidRDefault="00EA019F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239" w:lineRule="exact"/>
              <w:ind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贫血</w:t>
            </w:r>
          </w:p>
        </w:tc>
        <w:tc>
          <w:tcPr>
            <w:tcW w:w="3060" w:type="dxa"/>
          </w:tcPr>
          <w:p w14:paraId="54150DBC" w14:textId="77777777" w:rsidR="000A29F4" w:rsidRDefault="00EA019F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spacing w:before="50" w:line="239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禁忌症：</w:t>
            </w:r>
          </w:p>
          <w:p w14:paraId="46BCCF3F" w14:textId="77777777" w:rsidR="000A29F4" w:rsidRDefault="00EA019F">
            <w:pPr>
              <w:pStyle w:val="TableParagraph"/>
              <w:numPr>
                <w:ilvl w:val="1"/>
                <w:numId w:val="10"/>
              </w:numPr>
              <w:tabs>
                <w:tab w:val="left" w:pos="449"/>
              </w:tabs>
              <w:spacing w:before="9" w:line="199" w:lineRule="auto"/>
              <w:ind w:right="565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同时使用强效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CYP3A1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抑制剂（如伊曲康</w:t>
            </w: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唑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、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酮康</w:t>
            </w:r>
            <w:proofErr w:type="gramStart"/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唑</w:t>
            </w:r>
            <w:proofErr w:type="gramEnd"/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、利托那韦、开霉素等）</w:t>
            </w:r>
            <w:hyperlink w:anchor="_bookmark13" w:history="1">
              <w:r>
                <w:rPr>
                  <w:color w:val="231F20"/>
                  <w:w w:val="95"/>
                  <w:position w:val="6"/>
                  <w:sz w:val="10"/>
                  <w:lang w:eastAsia="zh-CN"/>
                </w:rPr>
                <w:t>10</w:t>
              </w:r>
            </w:hyperlink>
          </w:p>
          <w:p w14:paraId="54677795" w14:textId="77777777" w:rsidR="000A29F4" w:rsidRDefault="00EA019F">
            <w:pPr>
              <w:pStyle w:val="TableParagraph"/>
              <w:numPr>
                <w:ilvl w:val="1"/>
                <w:numId w:val="10"/>
              </w:numPr>
              <w:tabs>
                <w:tab w:val="left" w:pos="449"/>
              </w:tabs>
              <w:spacing w:line="203" w:lineRule="exact"/>
              <w:ind w:hanging="179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w w:val="80"/>
                <w:sz w:val="17"/>
              </w:rPr>
              <w:t>艾迪生病</w:t>
            </w:r>
            <w:r>
              <w:rPr>
                <w:rFonts w:eastAsia="宋体"/>
                <w:color w:val="231F20"/>
                <w:w w:val="80"/>
                <w:sz w:val="17"/>
              </w:rPr>
              <w:t xml:space="preserve"> </w:t>
            </w:r>
            <w:hyperlink w:anchor="_bookmark13" w:history="1">
              <w:r>
                <w:rPr>
                  <w:color w:val="231F20"/>
                  <w:spacing w:val="-2"/>
                  <w:w w:val="90"/>
                  <w:position w:val="6"/>
                  <w:sz w:val="10"/>
                </w:rPr>
                <w:t>10</w:t>
              </w:r>
            </w:hyperlink>
          </w:p>
          <w:p w14:paraId="206364D9" w14:textId="77777777" w:rsidR="000A29F4" w:rsidRDefault="00EA019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9" w:line="199" w:lineRule="auto"/>
              <w:ind w:right="596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spacing w:val="-4"/>
                <w:sz w:val="17"/>
                <w:lang w:eastAsia="zh-CN"/>
              </w:rPr>
              <w:t>不建议在</w:t>
            </w:r>
            <w:r>
              <w:rPr>
                <w:rFonts w:eastAsia="宋体"/>
                <w:color w:val="231F20"/>
                <w:spacing w:val="-4"/>
                <w:sz w:val="17"/>
                <w:lang w:eastAsia="zh-CN"/>
              </w:rPr>
              <w:t>eGFR&lt;25</w:t>
            </w:r>
            <w:r>
              <w:rPr>
                <w:rFonts w:eastAsia="宋体"/>
                <w:color w:val="231F20"/>
                <w:spacing w:val="-4"/>
                <w:sz w:val="17"/>
                <w:lang w:eastAsia="zh-CN"/>
              </w:rPr>
              <w:t>毫升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的患者开始用药。</w:t>
            </w:r>
          </w:p>
          <w:p w14:paraId="2020AAE1" w14:textId="77777777" w:rsidR="000A29F4" w:rsidRDefault="00EA019F">
            <w:pPr>
              <w:pStyle w:val="TableParagraph"/>
              <w:spacing w:line="199" w:lineRule="auto"/>
              <w:ind w:left="270" w:right="70" w:hanging="1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临床经验有限，最低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/1.73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平方米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7"/>
                <w:lang w:eastAsia="zh-CN"/>
              </w:rPr>
              <w:t>。</w:t>
            </w:r>
            <w:hyperlink w:anchor="_bookmark8" w:history="1">
              <w:r>
                <w:rPr>
                  <w:color w:val="231F20"/>
                  <w:spacing w:val="-2"/>
                  <w:w w:val="95"/>
                  <w:position w:val="6"/>
                  <w:sz w:val="10"/>
                </w:rPr>
                <w:t>5</w:t>
              </w:r>
            </w:hyperlink>
          </w:p>
          <w:p w14:paraId="20484F9C" w14:textId="77777777" w:rsidR="000A29F4" w:rsidRDefault="00EA019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199" w:lineRule="auto"/>
              <w:ind w:right="195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spacing w:val="-4"/>
                <w:sz w:val="17"/>
                <w:lang w:eastAsia="zh-CN"/>
              </w:rPr>
              <w:t>通过选择血清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钾浓度持续正常的人，并在</w:t>
            </w:r>
            <w:r>
              <w:rPr>
                <w:rFonts w:eastAsia="宋体"/>
                <w:color w:val="231F20"/>
                <w:spacing w:val="-2"/>
                <w:sz w:val="17"/>
                <w:lang w:eastAsia="zh-CN"/>
              </w:rPr>
              <w:t>开始后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定期监测血清钾，以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降低高钾血症风险。</w:t>
            </w:r>
            <w:hyperlink w:anchor="_bookmark8" w:history="1">
              <w:r>
                <w:rPr>
                  <w:color w:val="231F20"/>
                  <w:w w:val="85"/>
                  <w:position w:val="6"/>
                  <w:sz w:val="10"/>
                </w:rPr>
                <w:t>5</w:t>
              </w:r>
            </w:hyperlink>
          </w:p>
          <w:p w14:paraId="1122CD4B" w14:textId="77777777" w:rsidR="000A29F4" w:rsidRDefault="00EA019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199" w:lineRule="auto"/>
              <w:ind w:right="380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开始后一个月监测钾，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然后每四个月监测一次。</w:t>
            </w:r>
            <w:hyperlink w:anchor="_bookmark8" w:history="1">
              <w:r>
                <w:rPr>
                  <w:color w:val="231F20"/>
                  <w:w w:val="90"/>
                  <w:position w:val="6"/>
                  <w:sz w:val="10"/>
                </w:rPr>
                <w:t>5</w:t>
              </w:r>
            </w:hyperlink>
          </w:p>
          <w:p w14:paraId="7F2A83DE" w14:textId="77777777" w:rsidR="000A29F4" w:rsidRDefault="00EA019F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199" w:lineRule="auto"/>
              <w:ind w:right="537"/>
              <w:rPr>
                <w:sz w:val="17"/>
                <w:lang w:eastAsia="zh-CN"/>
              </w:rPr>
            </w:pPr>
            <w:proofErr w:type="gramStart"/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保持在钾含量</w:t>
            </w:r>
            <w:proofErr w:type="gramEnd"/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&gt;5.5 mmol/l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时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 xml:space="preserve">; 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考虑饮食调整</w:t>
            </w:r>
          </w:p>
          <w:p w14:paraId="1D11E2BF" w14:textId="77777777" w:rsidR="000A29F4" w:rsidRDefault="00EA019F">
            <w:pPr>
              <w:pStyle w:val="TableParagraph"/>
              <w:spacing w:line="199" w:lineRule="auto"/>
              <w:ind w:left="269" w:right="70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或用药缓解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高钾血症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;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考虑重新开始治疗</w:t>
            </w:r>
          </w:p>
          <w:p w14:paraId="5234800B" w14:textId="77777777" w:rsidR="000A29F4" w:rsidRDefault="00EA019F">
            <w:pPr>
              <w:pStyle w:val="TableParagraph"/>
              <w:spacing w:line="228" w:lineRule="exact"/>
              <w:ind w:left="269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/</w:t>
            </w: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当钾</w:t>
            </w:r>
            <w:r>
              <w:rPr>
                <w:rFonts w:ascii="Symbol" w:eastAsia="宋体" w:hAnsi="Symbol"/>
                <w:color w:val="231F20"/>
                <w:w w:val="85"/>
                <w:sz w:val="17"/>
                <w:lang w:eastAsia="zh-CN"/>
              </w:rPr>
              <w:t>含量</w:t>
            </w:r>
            <w:proofErr w:type="gramEnd"/>
            <w:r>
              <w:rPr>
                <w:rFonts w:ascii="Symbol" w:eastAsia="宋体" w:hAnsi="Symbol"/>
                <w:color w:val="231F20"/>
                <w:w w:val="85"/>
                <w:sz w:val="17"/>
                <w:lang w:eastAsia="zh-CN"/>
              </w:rPr>
              <w:t>为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5.0 mmol/l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时。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"_bookmark8" </w:instrText>
            </w:r>
            <w:r w:rsidR="00C80D18">
              <w:fldChar w:fldCharType="separate"/>
            </w:r>
            <w:r>
              <w:rPr>
                <w:color w:val="231F20"/>
                <w:spacing w:val="-2"/>
                <w:w w:val="85"/>
                <w:position w:val="6"/>
                <w:sz w:val="10"/>
              </w:rPr>
              <w:t>5</w:t>
            </w:r>
            <w:r w:rsidR="00C80D18">
              <w:rPr>
                <w:color w:val="231F20"/>
                <w:spacing w:val="-2"/>
                <w:w w:val="85"/>
                <w:position w:val="6"/>
                <w:sz w:val="10"/>
              </w:rPr>
              <w:fldChar w:fldCharType="end"/>
            </w:r>
          </w:p>
        </w:tc>
      </w:tr>
      <w:tr w:rsidR="000A29F4" w14:paraId="37E57896" w14:textId="77777777">
        <w:trPr>
          <w:trHeight w:val="567"/>
        </w:trPr>
        <w:tc>
          <w:tcPr>
            <w:tcW w:w="10800" w:type="dxa"/>
            <w:gridSpan w:val="6"/>
          </w:tcPr>
          <w:p w14:paraId="65AA1367" w14:textId="0A1AD449" w:rsidR="000A29F4" w:rsidRDefault="00EA019F">
            <w:pPr>
              <w:pStyle w:val="TableParagraph"/>
              <w:spacing w:before="49" w:line="228" w:lineRule="exact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类固醇</w:t>
            </w:r>
            <w:r w:rsidR="00615F46">
              <w:rPr>
                <w:rFonts w:ascii="Arial Black" w:eastAsia="宋体" w:hint="eastAsia"/>
                <w:color w:val="231F20"/>
                <w:w w:val="80"/>
                <w:sz w:val="17"/>
                <w:lang w:eastAsia="zh-CN"/>
              </w:rPr>
              <w:t>盐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皮质激素受体拮抗剂（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MRA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）</w:t>
            </w:r>
          </w:p>
          <w:p w14:paraId="48B737D3" w14:textId="424EB5A2" w:rsidR="000A29F4" w:rsidRDefault="000A29F4">
            <w:pPr>
              <w:pStyle w:val="TableParagraph"/>
              <w:spacing w:line="250" w:lineRule="exact"/>
              <w:rPr>
                <w:sz w:val="17"/>
              </w:rPr>
            </w:pPr>
          </w:p>
        </w:tc>
      </w:tr>
      <w:tr w:rsidR="000A29F4" w14:paraId="4BC5709E" w14:textId="77777777">
        <w:trPr>
          <w:trHeight w:val="2079"/>
        </w:trPr>
        <w:tc>
          <w:tcPr>
            <w:tcW w:w="2070" w:type="dxa"/>
          </w:tcPr>
          <w:p w14:paraId="5863C07C" w14:textId="77777777" w:rsidR="00615F46" w:rsidRDefault="00EA019F">
            <w:pPr>
              <w:pStyle w:val="TableParagraph"/>
              <w:spacing w:before="55" w:line="232" w:lineRule="auto"/>
              <w:ind w:right="765"/>
              <w:rPr>
                <w:rFonts w:ascii="Calibri"/>
                <w:i/>
                <w:color w:val="231F20"/>
                <w:w w:val="95"/>
                <w:sz w:val="17"/>
              </w:rPr>
            </w:pPr>
            <w:proofErr w:type="spellStart"/>
            <w:r>
              <w:rPr>
                <w:rFonts w:ascii="Arial Black" w:eastAsia="宋体"/>
                <w:color w:val="231F20"/>
                <w:spacing w:val="-2"/>
                <w:w w:val="85"/>
                <w:sz w:val="17"/>
              </w:rPr>
              <w:t>螺内酯</w:t>
            </w:r>
            <w:proofErr w:type="spellEnd"/>
          </w:p>
          <w:p w14:paraId="794FF1A6" w14:textId="1134ACDF" w:rsidR="000A29F4" w:rsidRDefault="00615F46">
            <w:pPr>
              <w:pStyle w:val="TableParagraph"/>
              <w:spacing w:before="55" w:line="232" w:lineRule="auto"/>
              <w:ind w:right="765"/>
              <w:rPr>
                <w:sz w:val="17"/>
              </w:rPr>
            </w:pP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片剂</w:t>
            </w:r>
            <w:r>
              <w:rPr>
                <w:rFonts w:eastAsia="宋体" w:hint="eastAsia"/>
                <w:color w:val="231F20"/>
                <w:w w:val="80"/>
                <w:sz w:val="17"/>
                <w:lang w:eastAsia="zh-CN"/>
              </w:rPr>
              <w:t>：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20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毫克</w:t>
            </w:r>
          </w:p>
        </w:tc>
        <w:tc>
          <w:tcPr>
            <w:tcW w:w="1890" w:type="dxa"/>
          </w:tcPr>
          <w:p w14:paraId="0AF6615F" w14:textId="77777777" w:rsidR="000A29F4" w:rsidRDefault="00EA019F">
            <w:pPr>
              <w:pStyle w:val="TableParagraph"/>
              <w:spacing w:before="81" w:line="199" w:lineRule="auto"/>
              <w:ind w:right="409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5"/>
                <w:sz w:val="17"/>
                <w:lang w:eastAsia="zh-CN"/>
              </w:rPr>
              <w:t>初始剂量：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每天一次口服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12.5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 xml:space="preserve"> </w:t>
            </w:r>
          </w:p>
          <w:p w14:paraId="29023AED" w14:textId="77777777" w:rsidR="000A29F4" w:rsidRDefault="00EA019F">
            <w:pPr>
              <w:pStyle w:val="TableParagraph"/>
              <w:spacing w:before="214" w:line="199" w:lineRule="auto"/>
              <w:ind w:right="314"/>
              <w:rPr>
                <w:sz w:val="17"/>
                <w:lang w:eastAsia="zh-CN"/>
              </w:rPr>
            </w:pPr>
            <w:r>
              <w:rPr>
                <w:rFonts w:ascii="Arial Black" w:eastAsia="宋体" w:hAnsi="Arial Black"/>
                <w:color w:val="231F20"/>
                <w:w w:val="80"/>
                <w:sz w:val="17"/>
                <w:lang w:eastAsia="zh-CN"/>
              </w:rPr>
              <w:t>目标剂量：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每天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25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至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50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 xml:space="preserve"> </w:t>
            </w:r>
          </w:p>
        </w:tc>
        <w:tc>
          <w:tcPr>
            <w:tcW w:w="810" w:type="dxa"/>
          </w:tcPr>
          <w:p w14:paraId="559B5F87" w14:textId="5DFF6B52" w:rsidR="000A29F4" w:rsidRDefault="000A29F4">
            <w:pPr>
              <w:pStyle w:val="TableParagraph"/>
              <w:spacing w:before="50"/>
              <w:rPr>
                <w:sz w:val="17"/>
              </w:rPr>
            </w:pPr>
          </w:p>
        </w:tc>
        <w:tc>
          <w:tcPr>
            <w:tcW w:w="1260" w:type="dxa"/>
          </w:tcPr>
          <w:p w14:paraId="44AC982F" w14:textId="1E131AFF" w:rsidR="000A29F4" w:rsidRDefault="000A29F4">
            <w:pPr>
              <w:pStyle w:val="TableParagraph"/>
              <w:spacing w:before="82" w:line="199" w:lineRule="auto"/>
              <w:ind w:right="591"/>
              <w:rPr>
                <w:sz w:val="17"/>
              </w:rPr>
            </w:pPr>
          </w:p>
        </w:tc>
        <w:tc>
          <w:tcPr>
            <w:tcW w:w="1710" w:type="dxa"/>
          </w:tcPr>
          <w:p w14:paraId="2C570A42" w14:textId="77777777" w:rsidR="000A29F4" w:rsidRDefault="00EA019F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before="50" w:line="239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高钾血症</w:t>
            </w:r>
          </w:p>
          <w:p w14:paraId="22314EE2" w14:textId="77777777" w:rsidR="000A29F4" w:rsidRDefault="00EA019F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脱水</w:t>
            </w:r>
          </w:p>
          <w:p w14:paraId="58AC03D3" w14:textId="77777777" w:rsidR="000A29F4" w:rsidRDefault="00EA019F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line="216" w:lineRule="exact"/>
              <w:ind w:left="268" w:hanging="179"/>
              <w:rPr>
                <w:sz w:val="17"/>
              </w:rPr>
            </w:pPr>
            <w:r>
              <w:rPr>
                <w:rFonts w:eastAsia="宋体"/>
                <w:color w:val="231F20"/>
                <w:spacing w:val="-2"/>
                <w:sz w:val="17"/>
              </w:rPr>
              <w:t>恶心</w:t>
            </w:r>
          </w:p>
          <w:p w14:paraId="5A1B99AE" w14:textId="77777777" w:rsidR="000A29F4" w:rsidRDefault="00EA019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0" w:line="199" w:lineRule="auto"/>
              <w:ind w:right="263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男性乳腺发育症（通常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停药后可逆转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7"/>
                <w:lang w:eastAsia="zh-CN"/>
              </w:rPr>
              <w:t>）</w:t>
            </w:r>
          </w:p>
        </w:tc>
        <w:tc>
          <w:tcPr>
            <w:tcW w:w="3060" w:type="dxa"/>
          </w:tcPr>
          <w:p w14:paraId="6FE394DB" w14:textId="77777777" w:rsidR="000A29F4" w:rsidRDefault="00EA019F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before="82" w:line="199" w:lineRule="auto"/>
              <w:ind w:right="928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避免在高血</w:t>
            </w: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钾风险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人群中使用（例如，</w:t>
            </w:r>
          </w:p>
          <w:p w14:paraId="08D27DF0" w14:textId="77777777" w:rsidR="000A29F4" w:rsidRDefault="00EA019F">
            <w:pPr>
              <w:pStyle w:val="TableParagraph"/>
              <w:spacing w:line="199" w:lineRule="auto"/>
              <w:ind w:left="269" w:right="70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低醛固酮症或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4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型肾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小管性酸中毒）。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"_bookmark12" </w:instrText>
            </w:r>
            <w:r w:rsidR="00C80D18">
              <w:fldChar w:fldCharType="separate"/>
            </w:r>
            <w:r>
              <w:rPr>
                <w:color w:val="231F20"/>
                <w:w w:val="95"/>
                <w:position w:val="6"/>
                <w:sz w:val="10"/>
              </w:rPr>
              <w:t>9</w:t>
            </w:r>
            <w:r w:rsidR="00C80D18">
              <w:rPr>
                <w:color w:val="231F20"/>
                <w:w w:val="95"/>
                <w:position w:val="6"/>
                <w:sz w:val="10"/>
              </w:rPr>
              <w:fldChar w:fldCharType="end"/>
            </w:r>
          </w:p>
          <w:p w14:paraId="0E3614B7" w14:textId="77777777" w:rsidR="000A29F4" w:rsidRDefault="00EA019F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199" w:lineRule="auto"/>
              <w:ind w:right="78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与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ACE-I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或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ARB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联合使用</w:t>
            </w:r>
            <w:r>
              <w:rPr>
                <w:rFonts w:eastAsia="宋体"/>
                <w:color w:val="231F20"/>
                <w:spacing w:val="-6"/>
                <w:sz w:val="17"/>
                <w:lang w:eastAsia="zh-CN"/>
              </w:rPr>
              <w:t>会增加高钾血症和</w:t>
            </w:r>
            <w:r>
              <w:rPr>
                <w:rFonts w:eastAsia="宋体"/>
                <w:color w:val="231F20"/>
                <w:spacing w:val="-2"/>
                <w:w w:val="90"/>
                <w:sz w:val="17"/>
                <w:lang w:eastAsia="zh-CN"/>
              </w:rPr>
              <w:t>肾功能下降的风险，尤其是</w:t>
            </w:r>
            <w:r>
              <w:rPr>
                <w:rFonts w:eastAsia="宋体"/>
                <w:color w:val="231F20"/>
                <w:spacing w:val="-2"/>
                <w:w w:val="90"/>
                <w:sz w:val="17"/>
                <w:lang w:eastAsia="zh-CN"/>
              </w:rPr>
              <w:t xml:space="preserve">  eGFR&lt;</w:t>
            </w:r>
            <w:r>
              <w:rPr>
                <w:rFonts w:eastAsia="宋体"/>
                <w:color w:val="231F20"/>
                <w:spacing w:val="-2"/>
                <w:w w:val="90"/>
                <w:sz w:val="17"/>
                <w:lang w:eastAsia="zh-CN"/>
              </w:rPr>
              <w:t>每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1.73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平方米</w:t>
            </w:r>
            <w:r>
              <w:rPr>
                <w:rFonts w:eastAsia="宋体"/>
                <w:color w:val="231F20"/>
                <w:sz w:val="17"/>
                <w:lang w:eastAsia="zh-CN"/>
              </w:rPr>
              <w:t>45</w:t>
            </w:r>
            <w:r>
              <w:rPr>
                <w:rFonts w:eastAsia="宋体"/>
                <w:color w:val="231F20"/>
                <w:sz w:val="17"/>
                <w:lang w:eastAsia="zh-CN"/>
              </w:rPr>
              <w:t>毫升</w:t>
            </w:r>
            <w:r>
              <w:rPr>
                <w:rFonts w:eastAsia="宋体"/>
                <w:color w:val="231F20"/>
                <w:sz w:val="17"/>
                <w:lang w:eastAsia="zh-CN"/>
              </w:rPr>
              <w:t>/</w:t>
            </w:r>
            <w:r>
              <w:rPr>
                <w:rFonts w:eastAsia="宋体"/>
                <w:color w:val="231F20"/>
                <w:sz w:val="17"/>
                <w:lang w:eastAsia="zh-CN"/>
              </w:rPr>
              <w:t>分钟的患者。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"_bookmark12" </w:instrText>
            </w:r>
            <w:r w:rsidR="00C80D18">
              <w:fldChar w:fldCharType="separate"/>
            </w:r>
            <w:r>
              <w:rPr>
                <w:color w:val="231F20"/>
                <w:position w:val="6"/>
                <w:sz w:val="10"/>
              </w:rPr>
              <w:t>9</w:t>
            </w:r>
            <w:r w:rsidR="00C80D18">
              <w:rPr>
                <w:color w:val="231F20"/>
                <w:position w:val="6"/>
                <w:sz w:val="10"/>
              </w:rPr>
              <w:fldChar w:fldCharType="end"/>
            </w:r>
          </w:p>
        </w:tc>
      </w:tr>
    </w:tbl>
    <w:p w14:paraId="707E49D1" w14:textId="77777777" w:rsidR="000A29F4" w:rsidRDefault="000A29F4">
      <w:pPr>
        <w:pStyle w:val="TableParagraph"/>
        <w:spacing w:line="199" w:lineRule="auto"/>
        <w:rPr>
          <w:position w:val="6"/>
          <w:sz w:val="10"/>
        </w:rPr>
        <w:sectPr w:rsidR="000A29F4">
          <w:pgSz w:w="12240" w:h="15840"/>
          <w:pgMar w:top="700" w:right="360" w:bottom="700" w:left="720" w:header="0" w:footer="510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4" w:space="0" w:color="298EC1"/>
          <w:left w:val="single" w:sz="4" w:space="0" w:color="298EC1"/>
          <w:bottom w:val="single" w:sz="4" w:space="0" w:color="298EC1"/>
          <w:right w:val="single" w:sz="4" w:space="0" w:color="298EC1"/>
          <w:insideH w:val="single" w:sz="4" w:space="0" w:color="298EC1"/>
          <w:insideV w:val="single" w:sz="4" w:space="0" w:color="298EC1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890"/>
        <w:gridCol w:w="810"/>
        <w:gridCol w:w="1260"/>
        <w:gridCol w:w="1710"/>
        <w:gridCol w:w="3060"/>
      </w:tblGrid>
      <w:tr w:rsidR="000A29F4" w14:paraId="41F7F536" w14:textId="77777777">
        <w:trPr>
          <w:trHeight w:val="783"/>
        </w:trPr>
        <w:tc>
          <w:tcPr>
            <w:tcW w:w="2070" w:type="dxa"/>
            <w:shd w:val="clear" w:color="auto" w:fill="D3E0EE"/>
          </w:tcPr>
          <w:p w14:paraId="37E2D0C3" w14:textId="0A1F82A7" w:rsidR="000A29F4" w:rsidRDefault="00615F46">
            <w:pPr>
              <w:pStyle w:val="TableParagraph"/>
              <w:spacing w:before="49"/>
              <w:ind w:left="10"/>
              <w:jc w:val="center"/>
              <w:rPr>
                <w:rFonts w:ascii="Arial Black"/>
                <w:sz w:val="17"/>
              </w:rPr>
            </w:pPr>
            <w:r>
              <w:rPr>
                <w:rFonts w:ascii="Arial Black" w:eastAsia="宋体" w:hint="eastAsia"/>
                <w:color w:val="231F20"/>
                <w:w w:val="80"/>
                <w:sz w:val="17"/>
                <w:lang w:eastAsia="zh-CN"/>
              </w:rPr>
              <w:lastRenderedPageBreak/>
              <w:t>药</w:t>
            </w:r>
            <w:r w:rsidR="00EA019F">
              <w:rPr>
                <w:rFonts w:ascii="Arial Black" w:eastAsia="宋体"/>
                <w:color w:val="231F20"/>
                <w:w w:val="80"/>
                <w:sz w:val="17"/>
              </w:rPr>
              <w:t xml:space="preserve"> </w:t>
            </w:r>
            <w:r w:rsidR="00EA019F">
              <w:rPr>
                <w:rFonts w:ascii="Arial Black" w:eastAsia="宋体"/>
                <w:color w:val="231F20"/>
                <w:spacing w:val="-4"/>
                <w:w w:val="90"/>
                <w:sz w:val="17"/>
              </w:rPr>
              <w:t>名</w:t>
            </w:r>
          </w:p>
          <w:p w14:paraId="390669D2" w14:textId="77777777" w:rsidR="000A29F4" w:rsidRDefault="00EA019F">
            <w:pPr>
              <w:pStyle w:val="TableParagraph"/>
              <w:spacing w:line="253" w:lineRule="exact"/>
              <w:ind w:left="10"/>
              <w:jc w:val="center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w w:val="85"/>
                <w:sz w:val="17"/>
              </w:rPr>
              <w:t>剂型与浓度</w:t>
            </w:r>
            <w:proofErr w:type="spellEnd"/>
          </w:p>
        </w:tc>
        <w:tc>
          <w:tcPr>
            <w:tcW w:w="1890" w:type="dxa"/>
            <w:shd w:val="clear" w:color="auto" w:fill="D3E0EE"/>
          </w:tcPr>
          <w:p w14:paraId="461669CA" w14:textId="5054C06E" w:rsidR="000A29F4" w:rsidRDefault="00EA019F">
            <w:pPr>
              <w:pStyle w:val="TableParagraph"/>
              <w:spacing w:before="68" w:line="216" w:lineRule="auto"/>
              <w:ind w:left="120" w:firstLine="253"/>
              <w:rPr>
                <w:position w:val="6"/>
                <w:sz w:val="10"/>
              </w:rPr>
            </w:pPr>
            <w:proofErr w:type="spellStart"/>
            <w:r>
              <w:rPr>
                <w:rFonts w:ascii="Arial Black" w:eastAsia="宋体"/>
                <w:color w:val="231F20"/>
                <w:spacing w:val="-2"/>
                <w:w w:val="90"/>
                <w:sz w:val="17"/>
              </w:rPr>
              <w:t>推荐</w:t>
            </w:r>
            <w:r>
              <w:rPr>
                <w:rFonts w:ascii="Arial Black" w:eastAsia="宋体"/>
                <w:color w:val="231F20"/>
                <w:w w:val="80"/>
                <w:sz w:val="17"/>
              </w:rPr>
              <w:t>剂量</w:t>
            </w:r>
            <w:proofErr w:type="spellEnd"/>
          </w:p>
        </w:tc>
        <w:tc>
          <w:tcPr>
            <w:tcW w:w="810" w:type="dxa"/>
            <w:shd w:val="clear" w:color="auto" w:fill="D3E0EE"/>
          </w:tcPr>
          <w:p w14:paraId="64E555AE" w14:textId="4BD757E8" w:rsidR="000A29F4" w:rsidRDefault="000A29F4">
            <w:pPr>
              <w:pStyle w:val="TableParagraph"/>
              <w:spacing w:before="68" w:line="216" w:lineRule="auto"/>
              <w:ind w:right="77" w:firstLine="19"/>
              <w:jc w:val="both"/>
              <w:rPr>
                <w:position w:val="6"/>
                <w:sz w:val="10"/>
              </w:rPr>
            </w:pPr>
          </w:p>
        </w:tc>
        <w:tc>
          <w:tcPr>
            <w:tcW w:w="1260" w:type="dxa"/>
            <w:shd w:val="clear" w:color="auto" w:fill="D3E0EE"/>
          </w:tcPr>
          <w:p w14:paraId="4D14D23F" w14:textId="1827D9B3" w:rsidR="000A29F4" w:rsidRDefault="000A29F4">
            <w:pPr>
              <w:pStyle w:val="TableParagraph"/>
              <w:spacing w:before="68" w:line="216" w:lineRule="auto"/>
              <w:ind w:left="240" w:hanging="85"/>
              <w:rPr>
                <w:position w:val="6"/>
                <w:sz w:val="10"/>
              </w:rPr>
            </w:pPr>
          </w:p>
        </w:tc>
        <w:tc>
          <w:tcPr>
            <w:tcW w:w="1710" w:type="dxa"/>
            <w:shd w:val="clear" w:color="auto" w:fill="D3E0EE"/>
          </w:tcPr>
          <w:p w14:paraId="32D29327" w14:textId="4B305489" w:rsidR="000A29F4" w:rsidRDefault="000A29F4">
            <w:pPr>
              <w:pStyle w:val="TableParagraph"/>
              <w:spacing w:before="49"/>
              <w:ind w:left="237"/>
              <w:rPr>
                <w:position w:val="6"/>
                <w:sz w:val="10"/>
              </w:rPr>
            </w:pPr>
          </w:p>
        </w:tc>
        <w:tc>
          <w:tcPr>
            <w:tcW w:w="3060" w:type="dxa"/>
            <w:shd w:val="clear" w:color="auto" w:fill="D3E0EE"/>
          </w:tcPr>
          <w:p w14:paraId="536417F5" w14:textId="2BC7CD40" w:rsidR="000A29F4" w:rsidRDefault="00EA019F">
            <w:pPr>
              <w:pStyle w:val="TableParagraph"/>
              <w:spacing w:before="68" w:line="216" w:lineRule="auto"/>
              <w:ind w:left="346" w:right="334" w:hanging="1"/>
              <w:jc w:val="center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药物相互作用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"_bookmark1" </w:instrText>
            </w:r>
            <w:r w:rsidR="00C80D18">
              <w:fldChar w:fldCharType="separate"/>
            </w:r>
            <w:r w:rsidR="00C80D18">
              <w:fldChar w:fldCharType="end"/>
            </w:r>
            <w:r>
              <w:rPr>
                <w:color w:val="231F20"/>
                <w:spacing w:val="-4"/>
                <w:w w:val="95"/>
                <w:position w:val="6"/>
                <w:sz w:val="10"/>
                <w:lang w:eastAsia="zh-CN"/>
              </w:rPr>
              <w:t xml:space="preserve"> </w:t>
            </w: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及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慢性肾病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>的治疗考虑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 xml:space="preserve"> </w:t>
            </w:r>
          </w:p>
        </w:tc>
      </w:tr>
      <w:tr w:rsidR="000A29F4" w14:paraId="3124E5CD" w14:textId="77777777">
        <w:trPr>
          <w:trHeight w:val="356"/>
        </w:trPr>
        <w:tc>
          <w:tcPr>
            <w:tcW w:w="10800" w:type="dxa"/>
            <w:gridSpan w:val="6"/>
            <w:tcBorders>
              <w:left w:val="nil"/>
              <w:bottom w:val="nil"/>
              <w:right w:val="nil"/>
            </w:tcBorders>
            <w:shd w:val="clear" w:color="auto" w:fill="298EC1"/>
          </w:tcPr>
          <w:p w14:paraId="6086DEF9" w14:textId="77777777" w:rsidR="000A29F4" w:rsidRDefault="00EA019F">
            <w:pPr>
              <w:pStyle w:val="TableParagraph"/>
              <w:spacing w:before="49"/>
              <w:ind w:left="10"/>
              <w:jc w:val="center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FFFFFF"/>
                <w:w w:val="80"/>
                <w:sz w:val="17"/>
                <w:lang w:eastAsia="zh-CN"/>
              </w:rPr>
              <w:t>慢性肾病并发症的治疗</w:t>
            </w:r>
          </w:p>
        </w:tc>
      </w:tr>
      <w:tr w:rsidR="000A29F4" w14:paraId="1F28EB2B" w14:textId="77777777">
        <w:trPr>
          <w:trHeight w:val="356"/>
        </w:trPr>
        <w:tc>
          <w:tcPr>
            <w:tcW w:w="10800" w:type="dxa"/>
            <w:gridSpan w:val="6"/>
            <w:tcBorders>
              <w:top w:val="nil"/>
            </w:tcBorders>
          </w:tcPr>
          <w:p w14:paraId="6F90C02A" w14:textId="1A6FDBED" w:rsidR="000A29F4" w:rsidRDefault="00EA019F">
            <w:pPr>
              <w:pStyle w:val="TableParagraph"/>
              <w:spacing w:before="54"/>
              <w:ind w:left="90"/>
              <w:rPr>
                <w:rFonts w:ascii="Arial Black"/>
                <w:sz w:val="17"/>
              </w:rPr>
            </w:pPr>
            <w:proofErr w:type="spellStart"/>
            <w:r>
              <w:rPr>
                <w:rFonts w:ascii="Arial Black" w:eastAsia="宋体"/>
                <w:color w:val="231F20"/>
                <w:w w:val="80"/>
                <w:sz w:val="17"/>
              </w:rPr>
              <w:t>代谢性</w:t>
            </w:r>
            <w:r>
              <w:rPr>
                <w:rFonts w:ascii="Arial Black" w:eastAsia="宋体"/>
                <w:color w:val="231F20"/>
                <w:spacing w:val="-2"/>
                <w:w w:val="85"/>
                <w:sz w:val="17"/>
              </w:rPr>
              <w:t>酸中毒</w:t>
            </w:r>
            <w:proofErr w:type="spellEnd"/>
          </w:p>
        </w:tc>
      </w:tr>
      <w:tr w:rsidR="000A29F4" w14:paraId="2C67BB1C" w14:textId="77777777">
        <w:trPr>
          <w:trHeight w:val="1863"/>
        </w:trPr>
        <w:tc>
          <w:tcPr>
            <w:tcW w:w="2070" w:type="dxa"/>
          </w:tcPr>
          <w:p w14:paraId="7FD29746" w14:textId="77777777" w:rsidR="000A29F4" w:rsidRDefault="00EA019F">
            <w:pPr>
              <w:pStyle w:val="TableParagraph"/>
              <w:spacing w:before="49"/>
              <w:ind w:left="90"/>
              <w:rPr>
                <w:rFonts w:ascii="Arial Black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碳</w:t>
            </w:r>
            <w:r>
              <w:rPr>
                <w:rFonts w:ascii="Arial Black" w:eastAsia="宋体"/>
                <w:color w:val="231F20"/>
                <w:spacing w:val="-2"/>
                <w:w w:val="90"/>
                <w:sz w:val="17"/>
                <w:lang w:eastAsia="zh-CN"/>
              </w:rPr>
              <w:t>酸氢钠</w:t>
            </w:r>
          </w:p>
          <w:p w14:paraId="4D0263A5" w14:textId="2C63AB4B" w:rsidR="000A29F4" w:rsidRDefault="000A29F4">
            <w:pPr>
              <w:pStyle w:val="TableParagraph"/>
              <w:spacing w:before="2" w:line="200" w:lineRule="exact"/>
              <w:ind w:left="90"/>
              <w:rPr>
                <w:rFonts w:ascii="Calibri"/>
                <w:i/>
                <w:sz w:val="17"/>
                <w:lang w:eastAsia="zh-CN"/>
              </w:rPr>
            </w:pPr>
          </w:p>
          <w:p w14:paraId="256E4BBD" w14:textId="17D450C5" w:rsidR="000A29F4" w:rsidRPr="00615F46" w:rsidRDefault="00EA019F" w:rsidP="00615F46">
            <w:pPr>
              <w:pStyle w:val="TableParagraph"/>
              <w:spacing w:line="231" w:lineRule="exact"/>
              <w:ind w:left="90"/>
              <w:rPr>
                <w:rFonts w:eastAsia="宋体"/>
                <w:color w:val="231F20"/>
                <w:w w:val="85"/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药片：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500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毫克（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5.8</w:t>
            </w:r>
          </w:p>
          <w:p w14:paraId="135C6881" w14:textId="472B4FEF" w:rsidR="000A29F4" w:rsidRDefault="00EA019F">
            <w:pPr>
              <w:pStyle w:val="TableParagraph"/>
              <w:spacing w:before="9" w:line="199" w:lineRule="auto"/>
              <w:ind w:left="90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MMOL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碳酸氢盐）</w:t>
            </w:r>
          </w:p>
          <w:p w14:paraId="3E41E8BF" w14:textId="35BBC3A1" w:rsidR="000A29F4" w:rsidRDefault="00EA019F">
            <w:pPr>
              <w:pStyle w:val="TableParagraph"/>
              <w:spacing w:line="239" w:lineRule="exact"/>
              <w:ind w:left="90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注射型：</w:t>
            </w:r>
            <w:r w:rsidR="00615F46">
              <w:rPr>
                <w:rFonts w:eastAsia="宋体"/>
                <w:color w:val="231F20"/>
                <w:w w:val="85"/>
                <w:sz w:val="17"/>
              </w:rPr>
              <w:t>5</w:t>
            </w:r>
            <w:r>
              <w:rPr>
                <w:rFonts w:eastAsia="宋体"/>
                <w:color w:val="231F20"/>
                <w:w w:val="85"/>
                <w:sz w:val="17"/>
              </w:rPr>
              <w:t>%</w:t>
            </w:r>
          </w:p>
        </w:tc>
        <w:tc>
          <w:tcPr>
            <w:tcW w:w="1890" w:type="dxa"/>
          </w:tcPr>
          <w:p w14:paraId="018ACCFE" w14:textId="7F4CCA95" w:rsidR="000A29F4" w:rsidRDefault="00EA019F">
            <w:pPr>
              <w:pStyle w:val="TableParagraph"/>
              <w:spacing w:before="82" w:line="199" w:lineRule="auto"/>
              <w:ind w:left="90" w:right="62"/>
              <w:rPr>
                <w:sz w:val="17"/>
                <w:lang w:eastAsia="zh-CN"/>
              </w:rPr>
            </w:pPr>
            <w:r>
              <w:rPr>
                <w:rFonts w:ascii="Arial Black" w:eastAsia="宋体" w:hAnsi="Arial Black"/>
                <w:color w:val="231F20"/>
                <w:spacing w:val="-4"/>
                <w:sz w:val="17"/>
                <w:lang w:eastAsia="zh-CN"/>
              </w:rPr>
              <w:t>初始剂量：</w:t>
            </w:r>
            <w:r>
              <w:rPr>
                <w:rFonts w:eastAsia="宋体"/>
                <w:color w:val="231F20"/>
                <w:spacing w:val="-4"/>
                <w:sz w:val="17"/>
                <w:lang w:eastAsia="zh-CN"/>
              </w:rPr>
              <w:t>每日或每日服用</w:t>
            </w:r>
            <w:r>
              <w:rPr>
                <w:rFonts w:eastAsia="宋体"/>
                <w:color w:val="231F20"/>
                <w:spacing w:val="-4"/>
                <w:sz w:val="17"/>
                <w:lang w:eastAsia="zh-CN"/>
              </w:rPr>
              <w:t>500</w:t>
            </w:r>
            <w:r>
              <w:rPr>
                <w:rFonts w:eastAsia="宋体"/>
                <w:color w:val="231F20"/>
                <w:spacing w:val="-4"/>
                <w:sz w:val="17"/>
                <w:lang w:eastAsia="zh-CN"/>
              </w:rPr>
              <w:t>毫克。滴定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以达到</w:t>
            </w:r>
            <w:r>
              <w:rPr>
                <w:color w:val="231F20"/>
                <w:spacing w:val="-2"/>
                <w:w w:val="90"/>
                <w:sz w:val="17"/>
                <w:lang w:eastAsia="zh-CN"/>
              </w:rPr>
              <w:t>18 mmol/l&gt;</w:t>
            </w:r>
            <w:r>
              <w:rPr>
                <w:rFonts w:eastAsia="宋体"/>
                <w:color w:val="231F20"/>
                <w:sz w:val="17"/>
                <w:lang w:eastAsia="zh-CN"/>
              </w:rPr>
              <w:t>碳酸氢盐浓度，并在预期范围内。</w:t>
            </w:r>
          </w:p>
          <w:p w14:paraId="44E6EB70" w14:textId="77777777" w:rsidR="000A29F4" w:rsidRDefault="00EA019F">
            <w:pPr>
              <w:pStyle w:val="TableParagraph"/>
              <w:spacing w:before="179"/>
              <w:ind w:left="90"/>
              <w:rPr>
                <w:sz w:val="17"/>
              </w:rPr>
            </w:pPr>
            <w:proofErr w:type="spellStart"/>
            <w:r>
              <w:rPr>
                <w:rFonts w:ascii="Arial Black" w:eastAsia="宋体"/>
                <w:color w:val="231F20"/>
                <w:w w:val="80"/>
                <w:sz w:val="17"/>
              </w:rPr>
              <w:t>最大剂量</w:t>
            </w:r>
            <w:proofErr w:type="spellEnd"/>
            <w:r>
              <w:rPr>
                <w:rFonts w:ascii="Arial Black" w:eastAsia="宋体"/>
                <w:color w:val="231F20"/>
                <w:w w:val="80"/>
                <w:sz w:val="17"/>
              </w:rPr>
              <w:t>：</w:t>
            </w:r>
            <w:r>
              <w:rPr>
                <w:rFonts w:ascii="Arial Black" w:eastAsia="宋体"/>
                <w:color w:val="231F20"/>
                <w:w w:val="80"/>
                <w:sz w:val="17"/>
              </w:rPr>
              <w:t xml:space="preserve"> </w:t>
            </w:r>
            <w:r>
              <w:rPr>
                <w:rFonts w:eastAsia="宋体"/>
                <w:color w:val="231F20"/>
                <w:w w:val="80"/>
                <w:sz w:val="17"/>
              </w:rPr>
              <w:t>每天</w:t>
            </w:r>
            <w:r>
              <w:rPr>
                <w:rFonts w:eastAsia="宋体"/>
                <w:color w:val="231F20"/>
                <w:w w:val="80"/>
                <w:sz w:val="17"/>
              </w:rPr>
              <w:t>5850</w:t>
            </w:r>
            <w:r>
              <w:rPr>
                <w:rFonts w:eastAsia="宋体"/>
                <w:color w:val="231F20"/>
                <w:w w:val="80"/>
                <w:sz w:val="17"/>
              </w:rPr>
              <w:t>毫克</w:t>
            </w:r>
          </w:p>
        </w:tc>
        <w:tc>
          <w:tcPr>
            <w:tcW w:w="810" w:type="dxa"/>
          </w:tcPr>
          <w:p w14:paraId="45738D08" w14:textId="7D84C767" w:rsidR="000A29F4" w:rsidRDefault="000A29F4">
            <w:pPr>
              <w:pStyle w:val="TableParagraph"/>
              <w:spacing w:line="239" w:lineRule="exact"/>
              <w:ind w:left="90"/>
              <w:rPr>
                <w:sz w:val="17"/>
              </w:rPr>
            </w:pPr>
          </w:p>
        </w:tc>
        <w:tc>
          <w:tcPr>
            <w:tcW w:w="1260" w:type="dxa"/>
          </w:tcPr>
          <w:p w14:paraId="7CF64631" w14:textId="1F543BBF" w:rsidR="000A29F4" w:rsidRDefault="000A29F4">
            <w:pPr>
              <w:pStyle w:val="TableParagraph"/>
              <w:spacing w:before="51"/>
              <w:ind w:left="90"/>
              <w:rPr>
                <w:sz w:val="17"/>
              </w:rPr>
            </w:pPr>
          </w:p>
        </w:tc>
        <w:tc>
          <w:tcPr>
            <w:tcW w:w="1710" w:type="dxa"/>
            <w:vMerge w:val="restart"/>
          </w:tcPr>
          <w:p w14:paraId="0EEFC149" w14:textId="77777777" w:rsidR="000A29F4" w:rsidRDefault="00EA019F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before="83" w:line="199" w:lineRule="auto"/>
              <w:ind w:right="157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spacing w:val="-2"/>
                <w:sz w:val="17"/>
                <w:lang w:eastAsia="zh-CN"/>
              </w:rPr>
              <w:t>腹胀、放屁、钠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吸收</w:t>
            </w:r>
            <w:r>
              <w:rPr>
                <w:rFonts w:eastAsia="宋体"/>
                <w:color w:val="231F20"/>
                <w:spacing w:val="-2"/>
                <w:sz w:val="17"/>
                <w:lang w:eastAsia="zh-CN"/>
              </w:rPr>
              <w:t>增加</w:t>
            </w:r>
            <w:r>
              <w:rPr>
                <w:rFonts w:eastAsia="宋体"/>
                <w:color w:val="231F20"/>
                <w:spacing w:val="-2"/>
                <w:sz w:val="17"/>
                <w:lang w:eastAsia="zh-CN"/>
              </w:rPr>
              <w:t xml:space="preserve"> </w:t>
            </w:r>
          </w:p>
          <w:p w14:paraId="1ED6CE2F" w14:textId="77777777" w:rsidR="000A29F4" w:rsidRDefault="00EA019F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199" w:lineRule="auto"/>
              <w:ind w:right="209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需要酸性胃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pH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值的药物吸收减少，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例如阿塔赞那韦、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碳酸钙，</w:t>
            </w:r>
          </w:p>
          <w:p w14:paraId="31B0B18C" w14:textId="77777777" w:rsidR="000A29F4" w:rsidRDefault="00EA019F">
            <w:pPr>
              <w:pStyle w:val="TableParagraph"/>
              <w:spacing w:line="199" w:lineRule="auto"/>
              <w:ind w:left="269" w:right="475"/>
              <w:jc w:val="both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铁片、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spacing w:val="-2"/>
                <w:w w:val="90"/>
                <w:sz w:val="17"/>
                <w:lang w:eastAsia="zh-CN"/>
              </w:rPr>
              <w:t>伊曲康</w:t>
            </w:r>
            <w:proofErr w:type="gramStart"/>
            <w:r>
              <w:rPr>
                <w:rFonts w:eastAsia="宋体"/>
                <w:color w:val="231F20"/>
                <w:spacing w:val="-2"/>
                <w:w w:val="90"/>
                <w:sz w:val="17"/>
                <w:lang w:eastAsia="zh-CN"/>
              </w:rPr>
              <w:t>唑</w:t>
            </w:r>
            <w:proofErr w:type="gramEnd"/>
            <w:r>
              <w:rPr>
                <w:rFonts w:eastAsia="宋体"/>
                <w:color w:val="231F20"/>
                <w:spacing w:val="-2"/>
                <w:w w:val="90"/>
                <w:sz w:val="17"/>
                <w:lang w:eastAsia="zh-CN"/>
              </w:rPr>
              <w:t>、</w:t>
            </w:r>
            <w:r>
              <w:rPr>
                <w:rFonts w:eastAsia="宋体"/>
                <w:color w:val="231F20"/>
                <w:spacing w:val="-2"/>
                <w:w w:val="90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酮康</w:t>
            </w:r>
            <w:proofErr w:type="gramStart"/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唑</w:t>
            </w:r>
            <w:proofErr w:type="gramEnd"/>
          </w:p>
        </w:tc>
        <w:tc>
          <w:tcPr>
            <w:tcW w:w="3060" w:type="dxa"/>
            <w:vMerge w:val="restart"/>
          </w:tcPr>
          <w:p w14:paraId="629824D8" w14:textId="77777777" w:rsidR="000A29F4" w:rsidRDefault="00EA019F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84" w:line="199" w:lineRule="auto"/>
              <w:ind w:right="127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spacing w:val="-6"/>
                <w:sz w:val="17"/>
                <w:lang w:eastAsia="zh-CN"/>
              </w:rPr>
              <w:t>考虑是否配合饮食干预，使用药物治疗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以防止</w:t>
            </w:r>
            <w:r>
              <w:rPr>
                <w:rFonts w:eastAsia="宋体"/>
                <w:color w:val="231F20"/>
                <w:spacing w:val="-4"/>
                <w:sz w:val="17"/>
                <w:lang w:eastAsia="zh-CN"/>
              </w:rPr>
              <w:t>潜在的酸中毒发展</w:t>
            </w:r>
          </w:p>
          <w:p w14:paraId="01CA5C46" w14:textId="77777777" w:rsidR="000A29F4" w:rsidRDefault="00EA019F">
            <w:pPr>
              <w:pStyle w:val="TableParagraph"/>
              <w:spacing w:line="199" w:lineRule="auto"/>
              <w:ind w:left="269" w:right="70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临床意义（例如，成人血清碳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酸氢钠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&lt;18 mmol/l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）。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"_bookmark12" </w:instrText>
            </w:r>
            <w:r w:rsidR="00C80D18">
              <w:fldChar w:fldCharType="separate"/>
            </w:r>
            <w:r>
              <w:rPr>
                <w:color w:val="231F20"/>
                <w:spacing w:val="-2"/>
                <w:w w:val="85"/>
                <w:position w:val="6"/>
                <w:sz w:val="10"/>
              </w:rPr>
              <w:t>5</w:t>
            </w:r>
            <w:r w:rsidR="00C80D18">
              <w:rPr>
                <w:color w:val="231F20"/>
                <w:spacing w:val="-2"/>
                <w:w w:val="85"/>
                <w:position w:val="6"/>
                <w:sz w:val="10"/>
              </w:rPr>
              <w:fldChar w:fldCharType="end"/>
            </w:r>
          </w:p>
          <w:p w14:paraId="4B4288D3" w14:textId="77777777" w:rsidR="000A29F4" w:rsidRDefault="00EA019F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199" w:lineRule="auto"/>
              <w:ind w:right="150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监测体液潴留和心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spacing w:val="-2"/>
                <w:sz w:val="17"/>
                <w:lang w:eastAsia="zh-CN"/>
              </w:rPr>
              <w:t>力衰竭。</w:t>
            </w:r>
            <w:hyperlink w:anchor="_bookmark14" w:history="1">
              <w:r>
                <w:rPr>
                  <w:color w:val="231F20"/>
                  <w:spacing w:val="-2"/>
                  <w:position w:val="6"/>
                  <w:sz w:val="10"/>
                </w:rPr>
                <w:t>12</w:t>
              </w:r>
            </w:hyperlink>
          </w:p>
          <w:p w14:paraId="5287E49D" w14:textId="77777777" w:rsidR="000A29F4" w:rsidRDefault="00EA019F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199" w:lineRule="auto"/>
              <w:ind w:right="593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监测代谢性酸中毒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，确保不会导致</w:t>
            </w:r>
          </w:p>
          <w:p w14:paraId="425A4356" w14:textId="77777777" w:rsidR="000A29F4" w:rsidRDefault="00EA019F">
            <w:pPr>
              <w:pStyle w:val="TableParagraph"/>
              <w:spacing w:line="199" w:lineRule="auto"/>
              <w:ind w:left="269" w:right="70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血清碳酸氢盐浓度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超过正常上限</w:t>
            </w:r>
            <w:r>
              <w:rPr>
                <w:rFonts w:eastAsia="宋体"/>
                <w:color w:val="231F20"/>
                <w:spacing w:val="-4"/>
                <w:sz w:val="17"/>
                <w:lang w:eastAsia="zh-CN"/>
              </w:rPr>
              <w:t>，且不会影响血压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控制、血清钾或体液</w:t>
            </w:r>
            <w:r>
              <w:rPr>
                <w:rFonts w:eastAsia="宋体"/>
                <w:color w:val="231F20"/>
                <w:spacing w:val="-2"/>
                <w:sz w:val="17"/>
                <w:lang w:eastAsia="zh-CN"/>
              </w:rPr>
              <w:t>状态。</w:t>
            </w:r>
            <w:hyperlink w:anchor="_bookmark8" w:history="1">
              <w:r>
                <w:rPr>
                  <w:color w:val="231F20"/>
                  <w:spacing w:val="-2"/>
                  <w:position w:val="6"/>
                  <w:sz w:val="10"/>
                </w:rPr>
                <w:t>5</w:t>
              </w:r>
            </w:hyperlink>
          </w:p>
          <w:p w14:paraId="1BD60E17" w14:textId="77777777" w:rsidR="000A29F4" w:rsidRDefault="00EA019F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199" w:lineRule="auto"/>
              <w:ind w:right="88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避免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&gt;32 mmol/L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的血清碳酸氢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盐，因为该浓度与慢性肾病患者死亡率增加有关。</w:t>
            </w:r>
            <w:hyperlink w:anchor="_bookmark14" w:history="1">
              <w:r>
                <w:rPr>
                  <w:color w:val="231F20"/>
                  <w:spacing w:val="-4"/>
                  <w:w w:val="95"/>
                  <w:position w:val="6"/>
                  <w:sz w:val="10"/>
                </w:rPr>
                <w:t>12</w:t>
              </w:r>
            </w:hyperlink>
          </w:p>
          <w:p w14:paraId="7DE745A5" w14:textId="77777777" w:rsidR="000A29F4" w:rsidRDefault="00EA019F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199" w:lineRule="auto"/>
              <w:ind w:right="171"/>
              <w:jc w:val="both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spacing w:val="-2"/>
                <w:w w:val="90"/>
                <w:sz w:val="17"/>
                <w:lang w:eastAsia="zh-CN"/>
              </w:rPr>
              <w:t>对于无法服用片剂的患者，溶解于水的小苏打可作为碳酸氢钠的替代品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使用（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1/8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茶匙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=7.1 mmol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碳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酸氢钠）。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"_bookmark14" </w:instrText>
            </w:r>
            <w:r w:rsidR="00C80D18">
              <w:fldChar w:fldCharType="separate"/>
            </w:r>
            <w:r>
              <w:rPr>
                <w:color w:val="231F20"/>
                <w:spacing w:val="-2"/>
                <w:w w:val="95"/>
                <w:position w:val="6"/>
                <w:sz w:val="10"/>
              </w:rPr>
              <w:t>12</w:t>
            </w:r>
            <w:r w:rsidR="00C80D18">
              <w:rPr>
                <w:color w:val="231F20"/>
                <w:spacing w:val="-2"/>
                <w:w w:val="95"/>
                <w:position w:val="6"/>
                <w:sz w:val="10"/>
              </w:rPr>
              <w:fldChar w:fldCharType="end"/>
            </w:r>
          </w:p>
        </w:tc>
      </w:tr>
      <w:tr w:rsidR="000A29F4" w14:paraId="0405E17B" w14:textId="77777777">
        <w:trPr>
          <w:trHeight w:val="3229"/>
        </w:trPr>
        <w:tc>
          <w:tcPr>
            <w:tcW w:w="2070" w:type="dxa"/>
          </w:tcPr>
          <w:p w14:paraId="2281F7DE" w14:textId="77777777" w:rsidR="000A29F4" w:rsidRDefault="00EA019F">
            <w:pPr>
              <w:pStyle w:val="TableParagraph"/>
              <w:spacing w:before="59" w:line="228" w:lineRule="auto"/>
              <w:ind w:left="90"/>
              <w:rPr>
                <w:rFonts w:ascii="Calibri" w:hAnsi="Calibri"/>
                <w:i/>
                <w:sz w:val="17"/>
              </w:rPr>
            </w:pPr>
            <w:proofErr w:type="spellStart"/>
            <w:r>
              <w:rPr>
                <w:rFonts w:ascii="Arial Black" w:eastAsia="宋体" w:hAnsi="Arial Black"/>
                <w:color w:val="231F20"/>
                <w:spacing w:val="-6"/>
                <w:sz w:val="17"/>
              </w:rPr>
              <w:t>柠檬酸</w:t>
            </w:r>
            <w:proofErr w:type="spellEnd"/>
            <w:r>
              <w:rPr>
                <w:rFonts w:ascii="Arial Black" w:eastAsia="宋体" w:hAnsi="Arial Black"/>
                <w:color w:val="231F20"/>
                <w:spacing w:val="-6"/>
                <w:sz w:val="17"/>
              </w:rPr>
              <w:t>/</w:t>
            </w:r>
            <w:proofErr w:type="spellStart"/>
            <w:r>
              <w:rPr>
                <w:rFonts w:ascii="Arial Black" w:eastAsia="宋体" w:hAnsi="Arial Black"/>
                <w:color w:val="231F20"/>
                <w:spacing w:val="-6"/>
                <w:sz w:val="17"/>
              </w:rPr>
              <w:t>柠</w:t>
            </w:r>
            <w:r>
              <w:rPr>
                <w:rFonts w:ascii="Arial Black" w:eastAsia="宋体" w:hAnsi="Arial Black"/>
                <w:color w:val="231F20"/>
                <w:w w:val="90"/>
                <w:sz w:val="17"/>
              </w:rPr>
              <w:t>檬酸</w:t>
            </w:r>
            <w:r>
              <w:rPr>
                <w:rFonts w:ascii="Calibri" w:eastAsia="宋体" w:hAnsi="Calibri"/>
                <w:i/>
                <w:color w:val="231F20"/>
                <w:w w:val="90"/>
                <w:sz w:val="17"/>
              </w:rPr>
              <w:t>钠（</w:t>
            </w:r>
            <w:r>
              <w:rPr>
                <w:rFonts w:ascii="Calibri" w:eastAsia="宋体" w:hAnsi="Calibri"/>
                <w:i/>
                <w:color w:val="231F20"/>
                <w:w w:val="90"/>
                <w:sz w:val="17"/>
              </w:rPr>
              <w:t>Shohl</w:t>
            </w:r>
            <w:r>
              <w:rPr>
                <w:rFonts w:ascii="Calibri" w:eastAsia="宋体" w:hAnsi="Calibri"/>
                <w:i/>
                <w:color w:val="231F20"/>
                <w:w w:val="90"/>
                <w:sz w:val="17"/>
              </w:rPr>
              <w:t>溶液）</w:t>
            </w:r>
            <w:r>
              <w:rPr>
                <w:rFonts w:ascii="Calibri" w:hAnsi="Calibri"/>
                <w:i/>
                <w:color w:val="231F20"/>
                <w:sz w:val="17"/>
              </w:rPr>
              <w:t>Dicitrate</w:t>
            </w:r>
            <w:proofErr w:type="spellEnd"/>
            <w:r>
              <w:rPr>
                <w:rFonts w:ascii="Calibri" w:hAnsi="Calibri"/>
                <w:i/>
                <w:color w:val="231F20"/>
                <w:sz w:val="17"/>
              </w:rPr>
              <w:t>，</w:t>
            </w:r>
            <w:r>
              <w:rPr>
                <w:rFonts w:ascii="Calibri" w:hAnsi="Calibri"/>
                <w:i/>
                <w:color w:val="231F20"/>
                <w:sz w:val="17"/>
              </w:rPr>
              <w:t xml:space="preserve"> G</w:t>
            </w:r>
          </w:p>
          <w:p w14:paraId="6F0EB931" w14:textId="77777777" w:rsidR="000A29F4" w:rsidRDefault="00EA019F">
            <w:pPr>
              <w:pStyle w:val="TableParagraph"/>
              <w:spacing w:before="18" w:line="199" w:lineRule="auto"/>
              <w:ind w:left="90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spacing w:val="-2"/>
                <w:w w:val="90"/>
                <w:sz w:val="17"/>
                <w:lang w:eastAsia="zh-CN"/>
              </w:rPr>
              <w:t>液体：</w:t>
            </w:r>
            <w:r>
              <w:rPr>
                <w:rFonts w:eastAsia="宋体"/>
                <w:color w:val="231F20"/>
                <w:spacing w:val="-2"/>
                <w:w w:val="90"/>
                <w:sz w:val="17"/>
                <w:lang w:eastAsia="zh-CN"/>
              </w:rPr>
              <w:t xml:space="preserve">1 mmol 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碳酸氢盐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/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毫升</w:t>
            </w:r>
          </w:p>
        </w:tc>
        <w:tc>
          <w:tcPr>
            <w:tcW w:w="1890" w:type="dxa"/>
          </w:tcPr>
          <w:p w14:paraId="22E379D3" w14:textId="77777777" w:rsidR="000A29F4" w:rsidRDefault="00EA019F">
            <w:pPr>
              <w:pStyle w:val="TableParagraph"/>
              <w:spacing w:before="81" w:line="199" w:lineRule="auto"/>
              <w:ind w:right="272"/>
              <w:rPr>
                <w:sz w:val="17"/>
                <w:lang w:eastAsia="zh-CN"/>
              </w:rPr>
            </w:pPr>
            <w:r>
              <w:rPr>
                <w:rFonts w:ascii="Arial Black" w:eastAsia="宋体" w:hAnsi="Arial Black"/>
                <w:color w:val="231F20"/>
                <w:w w:val="80"/>
                <w:sz w:val="17"/>
                <w:lang w:eastAsia="zh-CN"/>
              </w:rPr>
              <w:t>初始剂量：每天</w:t>
            </w:r>
            <w:r>
              <w:rPr>
                <w:color w:val="231F20"/>
                <w:w w:val="80"/>
                <w:sz w:val="17"/>
                <w:lang w:eastAsia="zh-CN"/>
              </w:rPr>
              <w:t>0.5 mmol/kg，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分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2–3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次分组服用</w:t>
            </w:r>
          </w:p>
          <w:p w14:paraId="0BC55239" w14:textId="77777777" w:rsidR="000A29F4" w:rsidRDefault="00EA019F">
            <w:pPr>
              <w:pStyle w:val="TableParagraph"/>
              <w:spacing w:before="213" w:line="199" w:lineRule="auto"/>
              <w:ind w:right="247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目标：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滴定至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碳酸氢盐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浓度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&gt;18 mmol/l</w:t>
            </w:r>
            <w:r>
              <w:rPr>
                <w:rFonts w:eastAsia="宋体"/>
                <w:color w:val="231F20"/>
                <w:spacing w:val="-2"/>
                <w:w w:val="85"/>
                <w:sz w:val="17"/>
                <w:lang w:eastAsia="zh-CN"/>
              </w:rPr>
              <w:t>，且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在预期范围内。</w:t>
            </w:r>
          </w:p>
        </w:tc>
        <w:tc>
          <w:tcPr>
            <w:tcW w:w="810" w:type="dxa"/>
          </w:tcPr>
          <w:p w14:paraId="3090FA9A" w14:textId="3B6E884E" w:rsidR="000A29F4" w:rsidRDefault="000A29F4">
            <w:pPr>
              <w:pStyle w:val="TableParagraph"/>
              <w:spacing w:before="9" w:line="199" w:lineRule="auto"/>
              <w:rPr>
                <w:sz w:val="17"/>
              </w:rPr>
            </w:pPr>
          </w:p>
        </w:tc>
        <w:tc>
          <w:tcPr>
            <w:tcW w:w="1260" w:type="dxa"/>
          </w:tcPr>
          <w:p w14:paraId="44EAC541" w14:textId="69E2C362" w:rsidR="000A29F4" w:rsidRDefault="000A29F4">
            <w:pPr>
              <w:pStyle w:val="TableParagraph"/>
              <w:spacing w:before="51"/>
              <w:rPr>
                <w:sz w:val="17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7D9E2A3F" w14:textId="77777777" w:rsidR="000A29F4" w:rsidRDefault="000A29F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37C7B8B6" w14:textId="77777777" w:rsidR="000A29F4" w:rsidRDefault="000A29F4">
            <w:pPr>
              <w:rPr>
                <w:sz w:val="2"/>
                <w:szCs w:val="2"/>
              </w:rPr>
            </w:pPr>
          </w:p>
        </w:tc>
      </w:tr>
      <w:tr w:rsidR="000A29F4" w14:paraId="11837EA2" w14:textId="77777777">
        <w:trPr>
          <w:trHeight w:val="567"/>
        </w:trPr>
        <w:tc>
          <w:tcPr>
            <w:tcW w:w="10800" w:type="dxa"/>
            <w:gridSpan w:val="6"/>
          </w:tcPr>
          <w:p w14:paraId="74DB0609" w14:textId="758830D6" w:rsidR="000A29F4" w:rsidRPr="00615F46" w:rsidRDefault="00EA019F" w:rsidP="00615F46">
            <w:pPr>
              <w:pStyle w:val="TableParagraph"/>
              <w:spacing w:before="50" w:line="228" w:lineRule="exact"/>
              <w:ind w:left="90"/>
              <w:rPr>
                <w:rFonts w:ascii="Arial Black" w:eastAsiaTheme="minorEastAsia" w:hint="eastAsia"/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缺铁性贫血</w:t>
            </w:r>
          </w:p>
        </w:tc>
      </w:tr>
      <w:tr w:rsidR="000A29F4" w14:paraId="11706123" w14:textId="77777777">
        <w:trPr>
          <w:trHeight w:val="2727"/>
        </w:trPr>
        <w:tc>
          <w:tcPr>
            <w:tcW w:w="2070" w:type="dxa"/>
          </w:tcPr>
          <w:p w14:paraId="7C9DCDF6" w14:textId="77777777" w:rsidR="000A29F4" w:rsidRDefault="00EA019F">
            <w:pPr>
              <w:pStyle w:val="TableParagraph"/>
              <w:spacing w:before="51" w:line="239" w:lineRule="exact"/>
              <w:ind w:left="90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w w:val="85"/>
                <w:sz w:val="17"/>
              </w:rPr>
              <w:t>口服铁制品</w:t>
            </w:r>
            <w:proofErr w:type="spellEnd"/>
          </w:p>
          <w:p w14:paraId="4CF350A6" w14:textId="77777777" w:rsidR="000A29F4" w:rsidRDefault="00EA019F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216" w:lineRule="exact"/>
              <w:ind w:hanging="179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硫酸</w:t>
            </w:r>
            <w:r>
              <w:rPr>
                <w:rFonts w:eastAsia="宋体"/>
                <w:color w:val="231F20"/>
                <w:spacing w:val="-2"/>
                <w:sz w:val="17"/>
              </w:rPr>
              <w:t>亚铁</w:t>
            </w:r>
            <w:r>
              <w:rPr>
                <w:rFonts w:eastAsia="宋体"/>
                <w:color w:val="231F20"/>
                <w:spacing w:val="-2"/>
                <w:sz w:val="17"/>
              </w:rPr>
              <w:t xml:space="preserve"> </w:t>
            </w:r>
          </w:p>
          <w:p w14:paraId="2D69DAEE" w14:textId="77777777" w:rsidR="000A29F4" w:rsidRDefault="00EA019F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216" w:lineRule="exact"/>
              <w:ind w:hanging="179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葡萄</w:t>
            </w:r>
            <w:r>
              <w:rPr>
                <w:rFonts w:eastAsia="宋体"/>
                <w:color w:val="231F20"/>
                <w:w w:val="85"/>
                <w:sz w:val="17"/>
              </w:rPr>
              <w:t xml:space="preserve"> </w:t>
            </w:r>
            <w:r>
              <w:rPr>
                <w:rFonts w:eastAsia="宋体"/>
                <w:color w:val="231F20"/>
                <w:spacing w:val="-2"/>
                <w:sz w:val="17"/>
              </w:rPr>
              <w:t>糖酸铁</w:t>
            </w:r>
          </w:p>
          <w:p w14:paraId="5100A225" w14:textId="2D3CBED2" w:rsidR="000A29F4" w:rsidRDefault="00EA019F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216" w:lineRule="exact"/>
              <w:ind w:hanging="179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spacing w:val="-2"/>
                <w:w w:val="95"/>
                <w:sz w:val="17"/>
              </w:rPr>
              <w:t>富马酸</w:t>
            </w:r>
            <w:r w:rsidR="00615F46">
              <w:rPr>
                <w:rFonts w:eastAsia="宋体"/>
                <w:color w:val="231F20"/>
                <w:w w:val="85"/>
                <w:sz w:val="17"/>
              </w:rPr>
              <w:t>亚铁</w:t>
            </w:r>
            <w:proofErr w:type="spellEnd"/>
          </w:p>
          <w:p w14:paraId="20593C6F" w14:textId="77777777" w:rsidR="000A29F4" w:rsidRDefault="00EA019F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216" w:lineRule="exact"/>
              <w:ind w:hanging="179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多糖铁</w:t>
            </w:r>
            <w:r>
              <w:rPr>
                <w:rFonts w:eastAsia="宋体"/>
                <w:color w:val="231F20"/>
                <w:w w:val="85"/>
                <w:sz w:val="17"/>
              </w:rPr>
              <w:t xml:space="preserve"> </w:t>
            </w:r>
          </w:p>
          <w:p w14:paraId="1A7043BF" w14:textId="77777777" w:rsidR="000A29F4" w:rsidRDefault="00EA019F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239" w:lineRule="exact"/>
              <w:ind w:hanging="179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血红素铁多肽</w:t>
            </w:r>
          </w:p>
        </w:tc>
        <w:tc>
          <w:tcPr>
            <w:tcW w:w="2700" w:type="dxa"/>
            <w:gridSpan w:val="2"/>
          </w:tcPr>
          <w:p w14:paraId="5FE3AC8F" w14:textId="4BDE5B5C" w:rsidR="000A29F4" w:rsidRDefault="00EA019F">
            <w:pPr>
              <w:pStyle w:val="TableParagraph"/>
              <w:spacing w:before="83" w:line="199" w:lineRule="auto"/>
              <w:ind w:right="98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spacing w:val="-6"/>
                <w:sz w:val="17"/>
                <w:lang w:eastAsia="zh-CN"/>
              </w:rPr>
              <w:t>UpToDate</w:t>
            </w:r>
            <w:r>
              <w:rPr>
                <w:rFonts w:eastAsia="宋体"/>
                <w:color w:val="231F20"/>
                <w:spacing w:val="-6"/>
                <w:sz w:val="17"/>
                <w:lang w:eastAsia="zh-CN"/>
              </w:rPr>
              <w:t>建议从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325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毫克硫酸亚铁（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65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元素铁）开始，以达到以下任</w:t>
            </w:r>
            <w:proofErr w:type="gramStart"/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一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剂量方案和</w:t>
            </w:r>
            <w:r>
              <w:rPr>
                <w:rFonts w:eastAsia="宋体"/>
                <w:color w:val="231F20"/>
                <w:sz w:val="17"/>
                <w:lang w:eastAsia="zh-CN"/>
              </w:rPr>
              <w:t>目标：</w:t>
            </w:r>
            <w:r w:rsidR="00615F46">
              <w:rPr>
                <w:position w:val="6"/>
                <w:sz w:val="10"/>
                <w:lang w:eastAsia="zh-CN"/>
              </w:rPr>
              <w:t xml:space="preserve"> </w:t>
            </w:r>
          </w:p>
          <w:p w14:paraId="3C5FD04D" w14:textId="77777777" w:rsidR="000A29F4" w:rsidRDefault="00EA019F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199" w:lineRule="auto"/>
              <w:ind w:right="208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每日剂量目标：</w:t>
            </w:r>
            <w:proofErr w:type="gramStart"/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元素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铁约每天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200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毫克，分三</w:t>
            </w:r>
            <w:r>
              <w:rPr>
                <w:rFonts w:eastAsia="宋体"/>
                <w:color w:val="231F20"/>
                <w:spacing w:val="-2"/>
                <w:sz w:val="17"/>
                <w:lang w:eastAsia="zh-CN"/>
              </w:rPr>
              <w:t>次分组服用</w:t>
            </w:r>
          </w:p>
          <w:p w14:paraId="42C6F875" w14:textId="77777777" w:rsidR="000A29F4" w:rsidRDefault="00EA019F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199" w:lineRule="auto"/>
              <w:ind w:right="294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隔日剂量目标：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单次剂量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约每日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65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>毫克元素铁</w:t>
            </w:r>
            <w:r>
              <w:rPr>
                <w:rFonts w:eastAsia="宋体"/>
                <w:color w:val="231F20"/>
                <w:w w:val="95"/>
                <w:sz w:val="17"/>
                <w:lang w:eastAsia="zh-CN"/>
              </w:rPr>
              <w:t xml:space="preserve"> </w:t>
            </w:r>
          </w:p>
        </w:tc>
        <w:tc>
          <w:tcPr>
            <w:tcW w:w="1260" w:type="dxa"/>
          </w:tcPr>
          <w:p w14:paraId="1375EB3D" w14:textId="0E714DF1" w:rsidR="000A29F4" w:rsidRDefault="000A29F4">
            <w:pPr>
              <w:pStyle w:val="TableParagraph"/>
              <w:spacing w:line="199" w:lineRule="auto"/>
              <w:rPr>
                <w:sz w:val="17"/>
                <w:lang w:eastAsia="zh-CN"/>
              </w:rPr>
            </w:pPr>
          </w:p>
        </w:tc>
        <w:tc>
          <w:tcPr>
            <w:tcW w:w="4770" w:type="dxa"/>
            <w:gridSpan w:val="2"/>
          </w:tcPr>
          <w:p w14:paraId="2DCE3464" w14:textId="77777777" w:rsidR="000A29F4" w:rsidRDefault="00EA019F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83" w:line="199" w:lineRule="auto"/>
              <w:ind w:right="99"/>
              <w:rPr>
                <w:position w:val="6"/>
                <w:sz w:val="10"/>
                <w:lang w:eastAsia="zh-CN"/>
              </w:rPr>
            </w:pP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尽管硫酸亚铁常见且价格低廉，但也可能使用其他口服铁制剂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;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目前没有显著证据表明其他口服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铁制剂比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硫酸亚铁更有效或副作用更少。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"_bookmark16" </w:instrText>
            </w:r>
            <w:r w:rsidR="00C80D18">
              <w:fldChar w:fldCharType="separate"/>
            </w:r>
            <w:r>
              <w:rPr>
                <w:color w:val="231F20"/>
                <w:w w:val="90"/>
                <w:position w:val="6"/>
                <w:sz w:val="10"/>
                <w:lang w:eastAsia="zh-CN"/>
              </w:rPr>
              <w:t>13</w:t>
            </w:r>
            <w:r w:rsidR="00C80D18">
              <w:rPr>
                <w:color w:val="231F20"/>
                <w:w w:val="90"/>
                <w:position w:val="6"/>
                <w:sz w:val="10"/>
              </w:rPr>
              <w:fldChar w:fldCharType="end"/>
            </w:r>
          </w:p>
          <w:p w14:paraId="5ABCA0C4" w14:textId="77777777" w:rsidR="000A29F4" w:rsidRDefault="00EA019F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199" w:lineRule="auto"/>
              <w:ind w:right="88"/>
              <w:rPr>
                <w:position w:val="6"/>
                <w:sz w:val="10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隔日给药尚未在慢性肾病患者中进行过测试。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尽管缺乏数据，但由于其在铁吸收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和副作用方面的潜在益处，选择该方案是合理的</w:t>
            </w:r>
            <w:r>
              <w:rPr>
                <w:color w:val="231F20"/>
                <w:w w:val="95"/>
                <w:sz w:val="17"/>
                <w:lang w:eastAsia="zh-CN"/>
              </w:rPr>
              <w:t>。</w:t>
            </w:r>
            <w:hyperlink w:anchor="_bookmark15" w:history="1">
              <w:r>
                <w:rPr>
                  <w:color w:val="231F20"/>
                  <w:w w:val="95"/>
                  <w:position w:val="6"/>
                  <w:sz w:val="10"/>
                </w:rPr>
                <w:t>11</w:t>
              </w:r>
            </w:hyperlink>
          </w:p>
        </w:tc>
      </w:tr>
      <w:tr w:rsidR="000A29F4" w14:paraId="24B141B4" w14:textId="77777777">
        <w:trPr>
          <w:trHeight w:val="351"/>
        </w:trPr>
        <w:tc>
          <w:tcPr>
            <w:tcW w:w="10800" w:type="dxa"/>
            <w:gridSpan w:val="6"/>
          </w:tcPr>
          <w:p w14:paraId="1F4B3EB4" w14:textId="77777777" w:rsidR="000A29F4" w:rsidRDefault="00EA019F">
            <w:pPr>
              <w:pStyle w:val="TableParagraph"/>
              <w:spacing w:before="49"/>
              <w:ind w:left="90"/>
              <w:rPr>
                <w:rFonts w:ascii="Arial Black"/>
                <w:sz w:val="17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</w:rPr>
              <w:t>钾</w:t>
            </w:r>
            <w:r>
              <w:rPr>
                <w:rFonts w:ascii="Arial Black" w:eastAsia="宋体"/>
                <w:color w:val="231F20"/>
                <w:w w:val="80"/>
                <w:sz w:val="17"/>
              </w:rPr>
              <w:t xml:space="preserve"> </w:t>
            </w:r>
            <w:r>
              <w:rPr>
                <w:rFonts w:ascii="Arial Black" w:eastAsia="宋体"/>
                <w:color w:val="231F20"/>
                <w:spacing w:val="-2"/>
                <w:w w:val="95"/>
                <w:sz w:val="17"/>
              </w:rPr>
              <w:t>异常</w:t>
            </w:r>
          </w:p>
        </w:tc>
      </w:tr>
      <w:tr w:rsidR="000A29F4" w14:paraId="3230A596" w14:textId="77777777">
        <w:trPr>
          <w:trHeight w:val="3927"/>
        </w:trPr>
        <w:tc>
          <w:tcPr>
            <w:tcW w:w="10800" w:type="dxa"/>
            <w:gridSpan w:val="6"/>
          </w:tcPr>
          <w:p w14:paraId="3F3266B7" w14:textId="77777777" w:rsidR="000A29F4" w:rsidRDefault="00EA019F">
            <w:pPr>
              <w:pStyle w:val="TableParagraph"/>
              <w:spacing w:before="50"/>
              <w:ind w:left="90"/>
              <w:rPr>
                <w:position w:val="6"/>
                <w:sz w:val="10"/>
                <w:lang w:eastAsia="zh-CN"/>
              </w:rPr>
            </w:pP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考虑将钾交换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剂作为二线治疗的一部分，用于管理慢性肾病中血清钾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&gt;5.5 mmol/l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。</w:t>
            </w:r>
            <w:r w:rsidR="00C80D18">
              <w:fldChar w:fldCharType="begin"/>
            </w:r>
            <w:r w:rsidR="00C80D18">
              <w:rPr>
                <w:lang w:eastAsia="zh-CN"/>
              </w:rPr>
              <w:instrText xml:space="preserve"> HYPERLINK \l "_bookmark8" </w:instrText>
            </w:r>
            <w:r w:rsidR="00C80D18">
              <w:fldChar w:fldCharType="separate"/>
            </w:r>
            <w:r>
              <w:rPr>
                <w:color w:val="231F20"/>
                <w:spacing w:val="-2"/>
                <w:w w:val="85"/>
                <w:position w:val="6"/>
                <w:sz w:val="10"/>
                <w:lang w:eastAsia="zh-CN"/>
              </w:rPr>
              <w:t>5</w:t>
            </w:r>
            <w:r w:rsidR="00C80D18">
              <w:rPr>
                <w:color w:val="231F20"/>
                <w:spacing w:val="-2"/>
                <w:w w:val="85"/>
                <w:position w:val="6"/>
                <w:sz w:val="10"/>
              </w:rPr>
              <w:fldChar w:fldCharType="end"/>
            </w:r>
          </w:p>
          <w:p w14:paraId="0B9B4989" w14:textId="0C9AB1AC" w:rsidR="000A29F4" w:rsidRDefault="00EA019F">
            <w:pPr>
              <w:pStyle w:val="TableParagraph"/>
              <w:tabs>
                <w:tab w:val="left" w:pos="3864"/>
              </w:tabs>
              <w:spacing w:before="145" w:line="239" w:lineRule="exact"/>
              <w:ind w:left="1345"/>
              <w:rPr>
                <w:sz w:val="17"/>
                <w:lang w:eastAsia="zh-CN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155712" behindDoc="1" locked="0" layoutInCell="1" allowOverlap="1" wp14:anchorId="379D4676" wp14:editId="27A4DD15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56248</wp:posOffset>
                      </wp:positionV>
                      <wp:extent cx="5372100" cy="51435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72100" cy="514350"/>
                                <a:chOff x="0" y="0"/>
                                <a:chExt cx="5372100" cy="514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549400" y="6350"/>
                                  <a:ext cx="3816350" cy="501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0" h="501650">
                                      <a:moveTo>
                                        <a:pt x="0" y="0"/>
                                      </a:moveTo>
                                      <a:lnTo>
                                        <a:pt x="0" y="501650"/>
                                      </a:lnTo>
                                      <a:lnTo>
                                        <a:pt x="3759200" y="501650"/>
                                      </a:lnTo>
                                      <a:lnTo>
                                        <a:pt x="3781443" y="497156"/>
                                      </a:lnTo>
                                      <a:lnTo>
                                        <a:pt x="3799609" y="484905"/>
                                      </a:lnTo>
                                      <a:lnTo>
                                        <a:pt x="3811858" y="466738"/>
                                      </a:lnTo>
                                      <a:lnTo>
                                        <a:pt x="3816350" y="444500"/>
                                      </a:lnTo>
                                      <a:lnTo>
                                        <a:pt x="3816350" y="57150"/>
                                      </a:lnTo>
                                      <a:lnTo>
                                        <a:pt x="3811858" y="34900"/>
                                      </a:lnTo>
                                      <a:lnTo>
                                        <a:pt x="3799609" y="16735"/>
                                      </a:lnTo>
                                      <a:lnTo>
                                        <a:pt x="3781443" y="4489"/>
                                      </a:lnTo>
                                      <a:lnTo>
                                        <a:pt x="37592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4CB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1587500" cy="501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0" h="501650">
                                      <a:moveTo>
                                        <a:pt x="1587500" y="0"/>
                                      </a:moveTo>
                                      <a:lnTo>
                                        <a:pt x="57150" y="0"/>
                                      </a:lnTo>
                                      <a:lnTo>
                                        <a:pt x="34906" y="4489"/>
                                      </a:lnTo>
                                      <a:lnTo>
                                        <a:pt x="16740" y="16735"/>
                                      </a:lnTo>
                                      <a:lnTo>
                                        <a:pt x="4491" y="3490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444500"/>
                                      </a:lnTo>
                                      <a:lnTo>
                                        <a:pt x="4491" y="466738"/>
                                      </a:lnTo>
                                      <a:lnTo>
                                        <a:pt x="16740" y="484905"/>
                                      </a:lnTo>
                                      <a:lnTo>
                                        <a:pt x="34906" y="497156"/>
                                      </a:lnTo>
                                      <a:lnTo>
                                        <a:pt x="57150" y="501650"/>
                                      </a:lnTo>
                                      <a:lnTo>
                                        <a:pt x="1587500" y="501650"/>
                                      </a:lnTo>
                                      <a:lnTo>
                                        <a:pt x="1587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1587500" cy="501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0" h="501650">
                                      <a:moveTo>
                                        <a:pt x="57150" y="0"/>
                                      </a:moveTo>
                                      <a:lnTo>
                                        <a:pt x="34906" y="4489"/>
                                      </a:lnTo>
                                      <a:lnTo>
                                        <a:pt x="16740" y="16735"/>
                                      </a:lnTo>
                                      <a:lnTo>
                                        <a:pt x="4491" y="3490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444500"/>
                                      </a:lnTo>
                                      <a:lnTo>
                                        <a:pt x="4491" y="466738"/>
                                      </a:lnTo>
                                      <a:lnTo>
                                        <a:pt x="16740" y="484905"/>
                                      </a:lnTo>
                                      <a:lnTo>
                                        <a:pt x="34906" y="497156"/>
                                      </a:lnTo>
                                      <a:lnTo>
                                        <a:pt x="57150" y="501650"/>
                                      </a:lnTo>
                                      <a:lnTo>
                                        <a:pt x="1587500" y="501650"/>
                                      </a:lnTo>
                                      <a:lnTo>
                                        <a:pt x="1587500" y="0"/>
                                      </a:lnTo>
                                      <a:lnTo>
                                        <a:pt x="57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0A1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F9DB75" id="Group 45" o:spid="_x0000_s1026" style="position:absolute;left:0;text-align:left;margin-left:58.25pt;margin-top:4.45pt;width:423pt;height:40.5pt;z-index:-16160768;mso-wrap-distance-left:0;mso-wrap-distance-right:0" coordsize="53721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">
                      <v:shape id="Graphic 46" o:spid="_x0000_s1027" style="position:absolute;left:15494;top:63;width:38163;height:5017;visibility:visible;mso-wrap-style:square;v-text-anchor:top" coordsize="38163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" path="m,l,501650r3759200,l3781443,497156r18166,-12251l3811858,466738r4492,-22238l3816350,57150r-4492,-22250l3799609,16735,3781443,4489,3759200,,,xe" filled="f" strokecolor="#f4cb9c" strokeweight="1pt">
                        <v:path arrowok="t"/>
                      </v:shape>
                      <v:shape id="Graphic 47" o:spid="_x0000_s1028" style="position:absolute;left:63;top:63;width:15875;height:5017;visibility:visible;mso-wrap-style:square;v-text-anchor:top" coordsize="158750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" path="m1587500,l57150,,34906,4489,16740,16735,4491,34900,,57150,,444500r4491,22238l16740,484905r18166,12251l57150,501650r1530350,l1587500,xe" stroked="f">
                        <v:path arrowok="t"/>
                      </v:shape>
                      <v:shape id="Graphic 48" o:spid="_x0000_s1029" style="position:absolute;left:63;top:63;width:15875;height:5017;visibility:visible;mso-wrap-style:square;v-text-anchor:top" coordsize="158750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" path="m57150,l34906,4489,16740,16735,4491,34900,,57150,,444500r4491,22238l16740,484905r18166,12251l57150,501650r1530350,l1587500,,57150,xe" filled="f" strokecolor="#f0a14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Black" w:eastAsia="宋体" w:hAnsi="Arial Black"/>
                <w:color w:val="231F20"/>
                <w:w w:val="75"/>
                <w:sz w:val="17"/>
                <w:lang w:eastAsia="zh-CN"/>
              </w:rPr>
              <w:t>第一</w:t>
            </w:r>
            <w:r>
              <w:rPr>
                <w:rFonts w:ascii="Arial Black" w:eastAsia="宋体" w:hAnsi="Arial Black"/>
                <w:color w:val="231F20"/>
                <w:w w:val="75"/>
                <w:sz w:val="17"/>
                <w:lang w:eastAsia="zh-CN"/>
              </w:rPr>
              <w:t xml:space="preserve"> </w:t>
            </w:r>
            <w:r w:rsidR="00615F46">
              <w:rPr>
                <w:rFonts w:ascii="Arial Black" w:eastAsia="宋体" w:hAnsi="Arial Black" w:hint="eastAsia"/>
                <w:color w:val="231F20"/>
                <w:spacing w:val="-4"/>
                <w:w w:val="85"/>
                <w:sz w:val="17"/>
                <w:lang w:eastAsia="zh-CN"/>
              </w:rPr>
              <w:t>步</w:t>
            </w:r>
            <w:r>
              <w:rPr>
                <w:rFonts w:ascii="Arial Black" w:eastAsia="宋体" w:hAnsi="Arial Black"/>
                <w:color w:val="231F20"/>
                <w:spacing w:val="-4"/>
                <w:w w:val="85"/>
                <w:sz w:val="17"/>
                <w:lang w:eastAsia="zh-CN"/>
              </w:rPr>
              <w:t>：</w:t>
            </w:r>
            <w:r>
              <w:rPr>
                <w:rFonts w:ascii="Arial Black" w:hAnsi="Arial Black"/>
                <w:color w:val="231F20"/>
                <w:sz w:val="17"/>
                <w:lang w:eastAsia="zh-CN"/>
              </w:rPr>
              <w:tab/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• </w:t>
            </w: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复查非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RASi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类药物（如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NSAIDs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、甲氧脄</w:t>
            </w: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啶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）</w:t>
            </w:r>
          </w:p>
          <w:p w14:paraId="5F60B215" w14:textId="77777777" w:rsidR="000A29F4" w:rsidRDefault="00EA019F">
            <w:pPr>
              <w:pStyle w:val="TableParagraph"/>
              <w:tabs>
                <w:tab w:val="left" w:pos="3864"/>
              </w:tabs>
              <w:spacing w:before="9" w:line="199" w:lineRule="auto"/>
              <w:ind w:left="4044" w:right="1380" w:hanging="2700"/>
              <w:rPr>
                <w:sz w:val="17"/>
                <w:lang w:eastAsia="zh-CN"/>
              </w:rPr>
            </w:pPr>
            <w:r>
              <w:rPr>
                <w:rFonts w:ascii="Arial Black" w:eastAsia="宋体" w:hAnsi="Arial Black"/>
                <w:color w:val="231F20"/>
                <w:w w:val="90"/>
                <w:sz w:val="17"/>
                <w:lang w:eastAsia="zh-CN"/>
              </w:rPr>
              <w:t>解决可纠正因素</w:t>
            </w:r>
            <w:r>
              <w:rPr>
                <w:rFonts w:ascii="Arial Black" w:hAnsi="Arial Black"/>
                <w:color w:val="231F20"/>
                <w:sz w:val="17"/>
                <w:lang w:eastAsia="zh-CN"/>
              </w:rPr>
              <w:tab/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•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评估膳食钾摄入量（饮食转诊）并考虑适当情况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适度饮食钾摄入</w:t>
            </w:r>
          </w:p>
          <w:p w14:paraId="1B9CBB01" w14:textId="56384911" w:rsidR="000A29F4" w:rsidRDefault="00EA019F">
            <w:pPr>
              <w:pStyle w:val="TableParagraph"/>
              <w:tabs>
                <w:tab w:val="left" w:pos="3864"/>
              </w:tabs>
              <w:spacing w:before="218" w:line="239" w:lineRule="exact"/>
              <w:ind w:left="1345"/>
              <w:rPr>
                <w:sz w:val="17"/>
                <w:lang w:eastAsia="zh-CN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156736" behindDoc="1" locked="0" layoutInCell="1" allowOverlap="1" wp14:anchorId="7AC23BA7" wp14:editId="08776B62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103650</wp:posOffset>
                      </wp:positionV>
                      <wp:extent cx="5372100" cy="6858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72100" cy="685800"/>
                                <a:chOff x="0" y="0"/>
                                <a:chExt cx="5372100" cy="6858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49400" y="6350"/>
                                  <a:ext cx="3816350" cy="67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0" h="673100">
                                      <a:moveTo>
                                        <a:pt x="0" y="0"/>
                                      </a:moveTo>
                                      <a:lnTo>
                                        <a:pt x="0" y="673100"/>
                                      </a:lnTo>
                                      <a:lnTo>
                                        <a:pt x="3759200" y="673100"/>
                                      </a:lnTo>
                                      <a:lnTo>
                                        <a:pt x="3781443" y="668606"/>
                                      </a:lnTo>
                                      <a:lnTo>
                                        <a:pt x="3799609" y="656355"/>
                                      </a:lnTo>
                                      <a:lnTo>
                                        <a:pt x="3811858" y="638188"/>
                                      </a:lnTo>
                                      <a:lnTo>
                                        <a:pt x="3816350" y="615950"/>
                                      </a:lnTo>
                                      <a:lnTo>
                                        <a:pt x="3816350" y="57150"/>
                                      </a:lnTo>
                                      <a:lnTo>
                                        <a:pt x="3811858" y="34900"/>
                                      </a:lnTo>
                                      <a:lnTo>
                                        <a:pt x="3799609" y="16735"/>
                                      </a:lnTo>
                                      <a:lnTo>
                                        <a:pt x="3781443" y="4489"/>
                                      </a:lnTo>
                                      <a:lnTo>
                                        <a:pt x="37592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D5E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587500" cy="67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0" h="673100">
                                      <a:moveTo>
                                        <a:pt x="1587500" y="0"/>
                                      </a:moveTo>
                                      <a:lnTo>
                                        <a:pt x="57150" y="0"/>
                                      </a:lnTo>
                                      <a:lnTo>
                                        <a:pt x="34906" y="4489"/>
                                      </a:lnTo>
                                      <a:lnTo>
                                        <a:pt x="16740" y="16735"/>
                                      </a:lnTo>
                                      <a:lnTo>
                                        <a:pt x="4491" y="3490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615950"/>
                                      </a:lnTo>
                                      <a:lnTo>
                                        <a:pt x="4491" y="638188"/>
                                      </a:lnTo>
                                      <a:lnTo>
                                        <a:pt x="16740" y="656355"/>
                                      </a:lnTo>
                                      <a:lnTo>
                                        <a:pt x="34906" y="668606"/>
                                      </a:lnTo>
                                      <a:lnTo>
                                        <a:pt x="57150" y="673100"/>
                                      </a:lnTo>
                                      <a:lnTo>
                                        <a:pt x="1587500" y="673100"/>
                                      </a:lnTo>
                                      <a:lnTo>
                                        <a:pt x="1587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1587500" cy="67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0" h="673100">
                                      <a:moveTo>
                                        <a:pt x="57150" y="0"/>
                                      </a:moveTo>
                                      <a:lnTo>
                                        <a:pt x="34906" y="4489"/>
                                      </a:lnTo>
                                      <a:lnTo>
                                        <a:pt x="16740" y="16735"/>
                                      </a:lnTo>
                                      <a:lnTo>
                                        <a:pt x="4491" y="3490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615950"/>
                                      </a:lnTo>
                                      <a:lnTo>
                                        <a:pt x="4491" y="638188"/>
                                      </a:lnTo>
                                      <a:lnTo>
                                        <a:pt x="16740" y="656355"/>
                                      </a:lnTo>
                                      <a:lnTo>
                                        <a:pt x="34906" y="668606"/>
                                      </a:lnTo>
                                      <a:lnTo>
                                        <a:pt x="57150" y="673100"/>
                                      </a:lnTo>
                                      <a:lnTo>
                                        <a:pt x="1587500" y="673100"/>
                                      </a:lnTo>
                                      <a:lnTo>
                                        <a:pt x="1587500" y="0"/>
                                      </a:lnTo>
                                      <a:lnTo>
                                        <a:pt x="57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51B9E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6B559" id="Group 49" o:spid="_x0000_s1026" style="position:absolute;left:0;text-align:left;margin-left:58.25pt;margin-top:8.15pt;width:423pt;height:54pt;z-index:-16159744;mso-wrap-distance-left:0;mso-wrap-distance-right:0" coordsize="53721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">
                      <v:shape id="Graphic 50" o:spid="_x0000_s1027" style="position:absolute;left:15494;top:63;width:38163;height:6731;visibility:visible;mso-wrap-style:square;v-text-anchor:top" coordsize="38163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" path="m,l,673100r3759200,l3781443,668606r18166,-12251l3811858,638188r4492,-22238l3816350,57150r-4492,-22250l3799609,16735,3781443,4489,3759200,,,xe" filled="f" strokecolor="#abd5e8" strokeweight="1pt">
                        <v:path arrowok="t"/>
                      </v:shape>
                      <v:shape id="Graphic 51" o:spid="_x0000_s1028" style="position:absolute;left:63;top:63;width:15875;height:6731;visibility:visible;mso-wrap-style:square;v-text-anchor:top" coordsize="158750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" path="m1587500,l57150,,34906,4489,16740,16735,4491,34900,,57150,,615950r4491,22238l16740,656355r18166,12251l57150,673100r1530350,l1587500,xe" stroked="f">
                        <v:path arrowok="t"/>
                      </v:shape>
                      <v:shape id="Graphic 52" o:spid="_x0000_s1029" style="position:absolute;left:63;top:63;width:15875;height:6731;visibility:visible;mso-wrap-style:square;v-text-anchor:top" coordsize="158750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" path="m57150,l34906,4489,16740,16735,4491,34900,,57150,,615950r4491,22238l16740,656355r18166,12251l57150,673100r1530350,l1587500,,57150,xe" filled="f" strokecolor="#51b9e1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第二</w:t>
            </w:r>
            <w:r>
              <w:rPr>
                <w:rFonts w:ascii="Arial Black" w:eastAsia="宋体"/>
                <w:color w:val="231F20"/>
                <w:spacing w:val="-4"/>
                <w:w w:val="95"/>
                <w:sz w:val="17"/>
                <w:lang w:eastAsia="zh-CN"/>
              </w:rPr>
              <w:t xml:space="preserve"> </w:t>
            </w:r>
            <w:r w:rsidR="00615F46">
              <w:rPr>
                <w:rFonts w:ascii="Arial Black" w:eastAsia="宋体" w:hint="eastAsia"/>
                <w:color w:val="231F20"/>
                <w:spacing w:val="-4"/>
                <w:w w:val="95"/>
                <w:sz w:val="17"/>
                <w:lang w:eastAsia="zh-CN"/>
              </w:rPr>
              <w:t>步</w:t>
            </w:r>
            <w:r>
              <w:rPr>
                <w:rFonts w:ascii="Arial Black" w:eastAsia="宋体"/>
                <w:color w:val="231F20"/>
                <w:spacing w:val="-4"/>
                <w:w w:val="95"/>
                <w:sz w:val="17"/>
                <w:lang w:eastAsia="zh-CN"/>
              </w:rPr>
              <w:t>：</w:t>
            </w:r>
            <w:r>
              <w:rPr>
                <w:rFonts w:ascii="Arial Black"/>
                <w:color w:val="231F20"/>
                <w:sz w:val="17"/>
                <w:lang w:eastAsia="zh-CN"/>
              </w:rPr>
              <w:tab/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请考虑：</w:t>
            </w:r>
          </w:p>
          <w:p w14:paraId="66BED400" w14:textId="77777777" w:rsidR="000A29F4" w:rsidRDefault="00EA019F">
            <w:pPr>
              <w:pStyle w:val="TableParagraph"/>
              <w:tabs>
                <w:tab w:val="left" w:pos="3864"/>
              </w:tabs>
              <w:spacing w:line="216" w:lineRule="exact"/>
              <w:ind w:left="1345"/>
              <w:rPr>
                <w:sz w:val="17"/>
                <w:lang w:eastAsia="zh-CN"/>
              </w:rPr>
            </w:pPr>
            <w:r>
              <w:rPr>
                <w:rFonts w:ascii="Arial Black" w:eastAsia="宋体" w:hAnsi="Arial Black"/>
                <w:color w:val="231F20"/>
                <w:spacing w:val="-2"/>
                <w:w w:val="90"/>
                <w:sz w:val="17"/>
                <w:lang w:eastAsia="zh-CN"/>
              </w:rPr>
              <w:t>药物</w:t>
            </w:r>
            <w:r>
              <w:rPr>
                <w:rFonts w:ascii="Arial Black" w:hAnsi="Arial Black"/>
                <w:color w:val="231F20"/>
                <w:sz w:val="17"/>
                <w:lang w:eastAsia="zh-CN"/>
              </w:rPr>
              <w:tab/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•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利尿剂的适当使用</w:t>
            </w:r>
          </w:p>
          <w:p w14:paraId="41D7FE82" w14:textId="77777777" w:rsidR="000A29F4" w:rsidRDefault="00EA019F">
            <w:pPr>
              <w:pStyle w:val="TableParagraph"/>
              <w:numPr>
                <w:ilvl w:val="0"/>
                <w:numId w:val="2"/>
              </w:numPr>
              <w:tabs>
                <w:tab w:val="left" w:pos="4044"/>
              </w:tabs>
              <w:spacing w:line="216" w:lineRule="exact"/>
              <w:ind w:left="4044" w:hanging="179"/>
              <w:rPr>
                <w:sz w:val="17"/>
              </w:rPr>
            </w:pPr>
            <w:proofErr w:type="spellStart"/>
            <w:r>
              <w:rPr>
                <w:rFonts w:eastAsia="宋体"/>
                <w:color w:val="231F20"/>
                <w:w w:val="85"/>
                <w:sz w:val="17"/>
              </w:rPr>
              <w:t>优化血清碳酸氢盐水平</w:t>
            </w:r>
            <w:proofErr w:type="spellEnd"/>
          </w:p>
          <w:p w14:paraId="164B9A65" w14:textId="77777777" w:rsidR="000A29F4" w:rsidRDefault="00EA019F">
            <w:pPr>
              <w:pStyle w:val="TableParagraph"/>
              <w:numPr>
                <w:ilvl w:val="0"/>
                <w:numId w:val="2"/>
              </w:numPr>
              <w:tabs>
                <w:tab w:val="left" w:pos="4044"/>
              </w:tabs>
              <w:spacing w:line="239" w:lineRule="exact"/>
              <w:ind w:left="4044" w:hanging="179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持牌钾交换剂</w:t>
            </w:r>
          </w:p>
          <w:p w14:paraId="6D6ECE02" w14:textId="77777777" w:rsidR="000A29F4" w:rsidRDefault="000A29F4">
            <w:pPr>
              <w:pStyle w:val="TableParagraph"/>
              <w:spacing w:before="20"/>
              <w:ind w:left="0"/>
              <w:rPr>
                <w:rFonts w:ascii="Arial Black"/>
                <w:sz w:val="17"/>
              </w:rPr>
            </w:pPr>
          </w:p>
          <w:p w14:paraId="4EE22134" w14:textId="6FC02B8C" w:rsidR="000A29F4" w:rsidRDefault="00EA019F">
            <w:pPr>
              <w:pStyle w:val="TableParagraph"/>
              <w:tabs>
                <w:tab w:val="left" w:pos="3864"/>
              </w:tabs>
              <w:spacing w:line="239" w:lineRule="exact"/>
              <w:ind w:left="1345"/>
              <w:rPr>
                <w:sz w:val="17"/>
                <w:lang w:eastAsia="zh-CN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156224" behindDoc="1" locked="0" layoutInCell="1" allowOverlap="1" wp14:anchorId="685F4FDD" wp14:editId="2B87B325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-34956</wp:posOffset>
                      </wp:positionV>
                      <wp:extent cx="5372100" cy="51435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72100" cy="514350"/>
                                <a:chOff x="0" y="0"/>
                                <a:chExt cx="5372100" cy="514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549400" y="6350"/>
                                  <a:ext cx="3816350" cy="501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0" h="501650">
                                      <a:moveTo>
                                        <a:pt x="0" y="0"/>
                                      </a:moveTo>
                                      <a:lnTo>
                                        <a:pt x="0" y="501650"/>
                                      </a:lnTo>
                                      <a:lnTo>
                                        <a:pt x="3759200" y="501650"/>
                                      </a:lnTo>
                                      <a:lnTo>
                                        <a:pt x="3781443" y="497156"/>
                                      </a:lnTo>
                                      <a:lnTo>
                                        <a:pt x="3799609" y="484905"/>
                                      </a:lnTo>
                                      <a:lnTo>
                                        <a:pt x="3811858" y="466738"/>
                                      </a:lnTo>
                                      <a:lnTo>
                                        <a:pt x="3816350" y="444500"/>
                                      </a:lnTo>
                                      <a:lnTo>
                                        <a:pt x="3816350" y="57150"/>
                                      </a:lnTo>
                                      <a:lnTo>
                                        <a:pt x="3811858" y="34900"/>
                                      </a:lnTo>
                                      <a:lnTo>
                                        <a:pt x="3799609" y="16735"/>
                                      </a:lnTo>
                                      <a:lnTo>
                                        <a:pt x="3781443" y="4489"/>
                                      </a:lnTo>
                                      <a:lnTo>
                                        <a:pt x="37592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C4D8B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1587500" cy="501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0" h="501650">
                                      <a:moveTo>
                                        <a:pt x="1587500" y="0"/>
                                      </a:moveTo>
                                      <a:lnTo>
                                        <a:pt x="57150" y="0"/>
                                      </a:lnTo>
                                      <a:lnTo>
                                        <a:pt x="34906" y="4489"/>
                                      </a:lnTo>
                                      <a:lnTo>
                                        <a:pt x="16740" y="16735"/>
                                      </a:lnTo>
                                      <a:lnTo>
                                        <a:pt x="4491" y="3490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444500"/>
                                      </a:lnTo>
                                      <a:lnTo>
                                        <a:pt x="4491" y="466738"/>
                                      </a:lnTo>
                                      <a:lnTo>
                                        <a:pt x="16740" y="484905"/>
                                      </a:lnTo>
                                      <a:lnTo>
                                        <a:pt x="34906" y="497156"/>
                                      </a:lnTo>
                                      <a:lnTo>
                                        <a:pt x="57150" y="501650"/>
                                      </a:lnTo>
                                      <a:lnTo>
                                        <a:pt x="1587500" y="501650"/>
                                      </a:lnTo>
                                      <a:lnTo>
                                        <a:pt x="1587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1587500" cy="501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0" h="501650">
                                      <a:moveTo>
                                        <a:pt x="57150" y="0"/>
                                      </a:moveTo>
                                      <a:lnTo>
                                        <a:pt x="34906" y="4489"/>
                                      </a:lnTo>
                                      <a:lnTo>
                                        <a:pt x="16740" y="16735"/>
                                      </a:lnTo>
                                      <a:lnTo>
                                        <a:pt x="4491" y="3490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444500"/>
                                      </a:lnTo>
                                      <a:lnTo>
                                        <a:pt x="4491" y="466738"/>
                                      </a:lnTo>
                                      <a:lnTo>
                                        <a:pt x="16740" y="484905"/>
                                      </a:lnTo>
                                      <a:lnTo>
                                        <a:pt x="34906" y="497156"/>
                                      </a:lnTo>
                                      <a:lnTo>
                                        <a:pt x="57150" y="501650"/>
                                      </a:lnTo>
                                      <a:lnTo>
                                        <a:pt x="1587500" y="501650"/>
                                      </a:lnTo>
                                      <a:lnTo>
                                        <a:pt x="1587500" y="0"/>
                                      </a:lnTo>
                                      <a:lnTo>
                                        <a:pt x="57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78AF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048A3" id="Group 53" o:spid="_x0000_s1026" style="position:absolute;left:0;text-align:left;margin-left:58.25pt;margin-top:-2.75pt;width:423pt;height:40.5pt;z-index:-16160256;mso-wrap-distance-left:0;mso-wrap-distance-right:0" coordsize="53721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">
                      <v:shape id="Graphic 54" o:spid="_x0000_s1027" style="position:absolute;left:15494;top:63;width:38163;height:5017;visibility:visible;mso-wrap-style:square;v-text-anchor:top" coordsize="38163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" path="m,l,501650r3759200,l3781443,497156r18166,-12251l3811858,466738r4492,-22238l3816350,57150r-4492,-22250l3799609,16735,3781443,4489,3759200,,,xe" filled="f" strokecolor="#c4d8bb" strokeweight="1pt">
                        <v:path arrowok="t"/>
                      </v:shape>
                      <v:shape id="Graphic 55" o:spid="_x0000_s1028" style="position:absolute;left:63;top:63;width:15875;height:5017;visibility:visible;mso-wrap-style:square;v-text-anchor:top" coordsize="158750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" path="m1587500,l57150,,34906,4489,16740,16735,4491,34900,,57150,,444500r4491,22238l16740,484905r18166,12251l57150,501650r1530350,l1587500,xe" stroked="f">
                        <v:path arrowok="t"/>
                      </v:shape>
                      <v:shape id="Graphic 56" o:spid="_x0000_s1029" style="position:absolute;left:63;top:63;width:15875;height:5017;visibility:visible;mso-wrap-style:square;v-text-anchor:top" coordsize="158750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" path="m57150,l34906,4489,16740,16735,4491,34900,,57150,,444500r4491,22238l16740,484905r18166,12251l57150,501650r1530350,l1587500,,57150,xe" filled="f" strokecolor="#78af6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Black" w:eastAsia="宋体" w:hAnsi="Arial Black"/>
                <w:color w:val="231F20"/>
                <w:w w:val="80"/>
                <w:sz w:val="17"/>
                <w:lang w:eastAsia="zh-CN"/>
              </w:rPr>
              <w:t>第三</w:t>
            </w:r>
            <w:r>
              <w:rPr>
                <w:rFonts w:ascii="Arial Black" w:eastAsia="宋体" w:hAnsi="Arial Black"/>
                <w:color w:val="231F20"/>
                <w:w w:val="80"/>
                <w:sz w:val="17"/>
                <w:lang w:eastAsia="zh-CN"/>
              </w:rPr>
              <w:t xml:space="preserve"> </w:t>
            </w:r>
            <w:r w:rsidR="00615F46">
              <w:rPr>
                <w:rFonts w:ascii="Arial Black" w:eastAsia="宋体" w:hAnsi="Arial Black" w:hint="eastAsia"/>
                <w:color w:val="231F20"/>
                <w:spacing w:val="-2"/>
                <w:w w:val="90"/>
                <w:sz w:val="17"/>
                <w:lang w:eastAsia="zh-CN"/>
              </w:rPr>
              <w:t>步</w:t>
            </w:r>
            <w:r>
              <w:rPr>
                <w:rFonts w:ascii="Arial Black" w:eastAsia="宋体" w:hAnsi="Arial Black"/>
                <w:color w:val="231F20"/>
                <w:spacing w:val="-2"/>
                <w:w w:val="90"/>
                <w:sz w:val="17"/>
                <w:lang w:eastAsia="zh-CN"/>
              </w:rPr>
              <w:t>：</w:t>
            </w:r>
            <w:r>
              <w:rPr>
                <w:rFonts w:ascii="Arial Black" w:hAnsi="Arial Black"/>
                <w:color w:val="231F20"/>
                <w:sz w:val="17"/>
                <w:lang w:eastAsia="zh-CN"/>
              </w:rPr>
              <w:tab/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•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减少剂量或停止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RASi/MRA</w:t>
            </w:r>
          </w:p>
          <w:p w14:paraId="5420B91B" w14:textId="77777777" w:rsidR="000A29F4" w:rsidRDefault="00EA019F">
            <w:pPr>
              <w:pStyle w:val="TableParagraph"/>
              <w:tabs>
                <w:tab w:val="left" w:pos="4044"/>
              </w:tabs>
              <w:spacing w:before="9" w:line="199" w:lineRule="auto"/>
              <w:ind w:left="4044" w:right="1380" w:hanging="2700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95"/>
                <w:sz w:val="17"/>
                <w:lang w:eastAsia="zh-CN"/>
              </w:rPr>
              <w:t>最后手段</w:t>
            </w:r>
            <w:r>
              <w:rPr>
                <w:rFonts w:ascii="Arial Black"/>
                <w:color w:val="231F20"/>
                <w:sz w:val="17"/>
                <w:lang w:eastAsia="zh-CN"/>
              </w:rPr>
              <w:tab/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（停药与心血管事件增加有关。影评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如果患者状况允许，之后可重新开始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RASi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或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MRA</w:t>
            </w:r>
            <w:r>
              <w:rPr>
                <w:rFonts w:eastAsia="宋体"/>
                <w:color w:val="231F20"/>
                <w:w w:val="90"/>
                <w:sz w:val="17"/>
                <w:lang w:eastAsia="zh-CN"/>
              </w:rPr>
              <w:t>。）</w:t>
            </w:r>
          </w:p>
          <w:p w14:paraId="066A2C42" w14:textId="77777777" w:rsidR="000A29F4" w:rsidRDefault="00EA019F">
            <w:pPr>
              <w:pStyle w:val="TableParagraph"/>
              <w:spacing w:before="232" w:line="199" w:lineRule="auto"/>
              <w:ind w:left="90"/>
              <w:rPr>
                <w:sz w:val="17"/>
                <w:lang w:eastAsia="zh-CN"/>
              </w:rPr>
            </w:pP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图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32 |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慢性肾病中管理磷脂磷酸钾血症（钾含量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&gt;5.5 mmol/l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>）的行动。</w:t>
            </w:r>
            <w:r>
              <w:rPr>
                <w:rFonts w:ascii="Arial Black" w:eastAsia="宋体"/>
                <w:color w:val="231F20"/>
                <w:w w:val="80"/>
                <w:sz w:val="17"/>
                <w:lang w:eastAsia="zh-CN"/>
              </w:rPr>
              <w:t xml:space="preserve"> 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MRA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>，矿物皮质激素受体拮抗剂</w:t>
            </w:r>
            <w:r>
              <w:rPr>
                <w:rFonts w:eastAsia="宋体"/>
                <w:color w:val="231F20"/>
                <w:w w:val="80"/>
                <w:sz w:val="17"/>
                <w:lang w:eastAsia="zh-CN"/>
              </w:rPr>
              <w:t xml:space="preserve">; 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非</w:t>
            </w:r>
            <w:proofErr w:type="gram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甾</w:t>
            </w:r>
            <w:proofErr w:type="gram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体抗炎药</w:t>
            </w:r>
            <w:proofErr w:type="spellStart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NSAID;RASi</w:t>
            </w:r>
            <w:proofErr w:type="spellEnd"/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，肾素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-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血管紧张素系统抑制剂。</w:t>
            </w:r>
          </w:p>
        </w:tc>
      </w:tr>
    </w:tbl>
    <w:p w14:paraId="0F4D3B85" w14:textId="77777777" w:rsidR="000A29F4" w:rsidRPr="00615F46" w:rsidRDefault="000A29F4" w:rsidP="00615F46">
      <w:pPr>
        <w:pStyle w:val="TableParagraph"/>
        <w:spacing w:line="199" w:lineRule="auto"/>
        <w:ind w:left="0"/>
        <w:rPr>
          <w:rFonts w:eastAsiaTheme="minorEastAsia" w:hint="eastAsia"/>
          <w:sz w:val="17"/>
          <w:lang w:eastAsia="zh-CN"/>
        </w:rPr>
        <w:sectPr w:rsidR="000A29F4" w:rsidRPr="00615F46">
          <w:pgSz w:w="12240" w:h="15840"/>
          <w:pgMar w:top="700" w:right="360" w:bottom="700" w:left="720" w:header="0" w:footer="510" w:gutter="0"/>
          <w:cols w:space="720"/>
        </w:sectPr>
      </w:pPr>
    </w:p>
    <w:p w14:paraId="7DCC89F6" w14:textId="2061A3BD" w:rsidR="000A29F4" w:rsidRPr="00615F46" w:rsidRDefault="000A29F4" w:rsidP="00615F46">
      <w:pPr>
        <w:tabs>
          <w:tab w:val="left" w:pos="539"/>
        </w:tabs>
        <w:spacing w:before="33" w:line="199" w:lineRule="auto"/>
        <w:ind w:right="491"/>
        <w:rPr>
          <w:sz w:val="15"/>
          <w:lang w:eastAsia="zh-CN"/>
        </w:rPr>
      </w:pPr>
      <w:bookmarkStart w:id="0" w:name="_bookmark0"/>
      <w:bookmarkStart w:id="1" w:name="_bookmark4"/>
      <w:bookmarkEnd w:id="0"/>
      <w:bookmarkEnd w:id="1"/>
    </w:p>
    <w:sectPr w:rsidR="000A29F4" w:rsidRPr="00615F46">
      <w:pgSz w:w="12240" w:h="15840"/>
      <w:pgMar w:top="600" w:right="360" w:bottom="700" w:left="720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9872" w14:textId="77777777" w:rsidR="00C80D18" w:rsidRDefault="00C80D18">
      <w:r>
        <w:separator/>
      </w:r>
    </w:p>
  </w:endnote>
  <w:endnote w:type="continuationSeparator" w:id="0">
    <w:p w14:paraId="41A3E9D2" w14:textId="77777777" w:rsidR="00C80D18" w:rsidRDefault="00C8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22A6" w14:textId="7A75098E" w:rsidR="000A29F4" w:rsidRDefault="000A29F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3134" w14:textId="37ED1634" w:rsidR="000A29F4" w:rsidRDefault="000A29F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E180" w14:textId="77777777" w:rsidR="00C80D18" w:rsidRDefault="00C80D18">
      <w:r>
        <w:separator/>
      </w:r>
    </w:p>
  </w:footnote>
  <w:footnote w:type="continuationSeparator" w:id="0">
    <w:p w14:paraId="5B19DF8D" w14:textId="77777777" w:rsidR="00C80D18" w:rsidRDefault="00C80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844"/>
    <w:multiLevelType w:val="hybridMultilevel"/>
    <w:tmpl w:val="8F726B1A"/>
    <w:lvl w:ilvl="0" w:tplc="FFFFFFFF">
      <w:start w:val="1"/>
      <w:numFmt w:val="chineseCounting"/>
      <w:lvlText w:val="%1."/>
      <w:lvlJc w:val="left"/>
      <w:pPr>
        <w:ind w:left="539" w:hanging="30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79"/>
        <w:sz w:val="15"/>
        <w:szCs w:val="15"/>
        <w:lang w:val="en-US" w:eastAsia="en-US" w:bidi="ar-SA"/>
      </w:rPr>
    </w:lvl>
    <w:lvl w:ilvl="1" w:tplc="FFFFFFFF">
      <w:numFmt w:val="bullet"/>
      <w:lvlText w:val="•"/>
      <w:lvlJc w:val="left"/>
      <w:pPr>
        <w:ind w:left="1602" w:hanging="3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64" w:hanging="3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26" w:hanging="3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88" w:hanging="3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50" w:hanging="3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12" w:hanging="3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4" w:hanging="3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6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07851D2F"/>
    <w:multiLevelType w:val="hybridMultilevel"/>
    <w:tmpl w:val="8EACF864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404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4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692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83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98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124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268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412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92A2F90"/>
    <w:multiLevelType w:val="hybridMultilevel"/>
    <w:tmpl w:val="B5562030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539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1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97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655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934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213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492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0A2B51A6"/>
    <w:multiLevelType w:val="hybridMultilevel"/>
    <w:tmpl w:val="2C22705C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404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4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692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83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98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124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268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412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17DC16AA"/>
    <w:multiLevelType w:val="hybridMultilevel"/>
    <w:tmpl w:val="417A5840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404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4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692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83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98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124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268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412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1E857AD7"/>
    <w:multiLevelType w:val="hybridMultilevel"/>
    <w:tmpl w:val="98FA5F48"/>
    <w:lvl w:ilvl="0" w:tplc="FFFFFFFF">
      <w:numFmt w:val="bullet"/>
      <w:lvlText w:val="•"/>
      <w:lvlJc w:val="left"/>
      <w:pPr>
        <w:ind w:left="4045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4715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390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6065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740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415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090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765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40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31537005"/>
    <w:multiLevelType w:val="hybridMultilevel"/>
    <w:tmpl w:val="99B67ABC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539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1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97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655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934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213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492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333D5CC0"/>
    <w:multiLevelType w:val="hybridMultilevel"/>
    <w:tmpl w:val="D9D663CA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503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746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989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232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475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18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1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204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3A522AE8"/>
    <w:multiLevelType w:val="hybridMultilevel"/>
    <w:tmpl w:val="62223446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539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1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97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655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934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213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492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3EE17B53"/>
    <w:multiLevelType w:val="hybridMultilevel"/>
    <w:tmpl w:val="FB406074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404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4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692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83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98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124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268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412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4F8C7E28"/>
    <w:multiLevelType w:val="hybridMultilevel"/>
    <w:tmpl w:val="4D901922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539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1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97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655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934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213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492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517A08EC"/>
    <w:multiLevelType w:val="hybridMultilevel"/>
    <w:tmpl w:val="EBEC69D0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539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1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97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655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934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213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492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522F092C"/>
    <w:multiLevelType w:val="hybridMultilevel"/>
    <w:tmpl w:val="22C89D18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1313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66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9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72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25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78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1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84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52787FF6"/>
    <w:multiLevelType w:val="hybridMultilevel"/>
    <w:tmpl w:val="AEBE272E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710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60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51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960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410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860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590855ED"/>
    <w:multiLevelType w:val="hybridMultilevel"/>
    <w:tmpl w:val="6CE636FA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-"/>
      <w:lvlJc w:val="left"/>
      <w:pPr>
        <w:ind w:left="44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0"/>
        <w:sz w:val="17"/>
        <w:szCs w:val="17"/>
        <w:lang w:val="en-US" w:eastAsia="en-US" w:bidi="ar-SA"/>
      </w:rPr>
    </w:lvl>
    <w:lvl w:ilvl="2" w:tplc="FFFFFFFF">
      <w:numFmt w:val="bullet"/>
      <w:lvlText w:val="•"/>
      <w:lvlJc w:val="left"/>
      <w:pPr>
        <w:ind w:left="580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720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860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00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140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280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420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62B464F5"/>
    <w:multiLevelType w:val="hybridMultilevel"/>
    <w:tmpl w:val="8E82BAAA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404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4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692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83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98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124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268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412" w:hanging="180"/>
      </w:pPr>
      <w:rPr>
        <w:rFonts w:hint="default"/>
        <w:lang w:val="en-US" w:eastAsia="en-US" w:bidi="ar-SA"/>
      </w:rPr>
    </w:lvl>
  </w:abstractNum>
  <w:abstractNum w:abstractNumId="16" w15:restartNumberingAfterBreak="0">
    <w:nsid w:val="69826877"/>
    <w:multiLevelType w:val="hybridMultilevel"/>
    <w:tmpl w:val="CB365098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440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620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00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80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16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340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520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700" w:hanging="180"/>
      </w:pPr>
      <w:rPr>
        <w:rFonts w:hint="default"/>
        <w:lang w:val="en-US" w:eastAsia="en-US" w:bidi="ar-SA"/>
      </w:rPr>
    </w:lvl>
  </w:abstractNum>
  <w:abstractNum w:abstractNumId="17" w15:restartNumberingAfterBreak="0">
    <w:nsid w:val="72450E25"/>
    <w:multiLevelType w:val="hybridMultilevel"/>
    <w:tmpl w:val="CB3C57D2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710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60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51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960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410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860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74B51680"/>
    <w:multiLevelType w:val="hybridMultilevel"/>
    <w:tmpl w:val="CB865778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-"/>
      <w:lvlJc w:val="left"/>
      <w:pPr>
        <w:ind w:left="44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0"/>
        <w:sz w:val="17"/>
        <w:szCs w:val="17"/>
        <w:lang w:val="en-US" w:eastAsia="en-US" w:bidi="ar-SA"/>
      </w:rPr>
    </w:lvl>
    <w:lvl w:ilvl="2" w:tplc="FFFFFFFF">
      <w:numFmt w:val="bullet"/>
      <w:lvlText w:val="•"/>
      <w:lvlJc w:val="left"/>
      <w:pPr>
        <w:ind w:left="730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20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10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60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890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180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470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7A310037"/>
    <w:multiLevelType w:val="hybridMultilevel"/>
    <w:tmpl w:val="BC7A2E5C"/>
    <w:lvl w:ilvl="0" w:tplc="FFFFFFFF">
      <w:numFmt w:val="bullet"/>
      <w:lvlText w:val="•"/>
      <w:lvlJc w:val="left"/>
      <w:pPr>
        <w:ind w:left="269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17"/>
        <w:szCs w:val="17"/>
        <w:lang w:val="en-US" w:eastAsia="en-US" w:bidi="ar-SA"/>
      </w:rPr>
    </w:lvl>
    <w:lvl w:ilvl="1" w:tplc="FFFFFFFF">
      <w:numFmt w:val="bullet"/>
      <w:lvlText w:val="•"/>
      <w:lvlJc w:val="left"/>
      <w:pPr>
        <w:ind w:left="404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4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692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83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98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124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268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412" w:hanging="18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7"/>
  </w:num>
  <w:num w:numId="5">
    <w:abstractNumId w:val="16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18"/>
  </w:num>
  <w:num w:numId="11">
    <w:abstractNumId w:val="19"/>
  </w:num>
  <w:num w:numId="12">
    <w:abstractNumId w:val="17"/>
  </w:num>
  <w:num w:numId="13">
    <w:abstractNumId w:val="8"/>
  </w:num>
  <w:num w:numId="14">
    <w:abstractNumId w:val="15"/>
  </w:num>
  <w:num w:numId="15">
    <w:abstractNumId w:val="12"/>
  </w:num>
  <w:num w:numId="16">
    <w:abstractNumId w:val="1"/>
  </w:num>
  <w:num w:numId="17">
    <w:abstractNumId w:val="10"/>
  </w:num>
  <w:num w:numId="18">
    <w:abstractNumId w:val="9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9F4"/>
    <w:rsid w:val="000A29F4"/>
    <w:rsid w:val="002E7AC6"/>
    <w:rsid w:val="006136F7"/>
    <w:rsid w:val="00615F46"/>
    <w:rsid w:val="00C80D18"/>
    <w:rsid w:val="00E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F285"/>
  <w15:docId w15:val="{659D57E7-5ADB-46AB-B30D-BC1A16B8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uiPriority w:val="9"/>
    <w:qFormat/>
    <w:pPr>
      <w:spacing w:before="15"/>
      <w:ind w:left="180"/>
      <w:outlineLvl w:val="0"/>
    </w:pPr>
    <w:rPr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177"/>
      <w:ind w:right="363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a5">
    <w:name w:val="List Paragraph"/>
    <w:basedOn w:val="a"/>
    <w:uiPriority w:val="1"/>
    <w:qFormat/>
    <w:pPr>
      <w:spacing w:before="45"/>
      <w:ind w:left="539" w:hanging="300"/>
    </w:pPr>
  </w:style>
  <w:style w:type="paragraph" w:customStyle="1" w:styleId="TableParagraph">
    <w:name w:val="Table Paragraph"/>
    <w:basedOn w:val="a"/>
    <w:uiPriority w:val="1"/>
    <w:qFormat/>
    <w:pPr>
      <w:ind w:left="89"/>
    </w:pPr>
  </w:style>
  <w:style w:type="character" w:styleId="a6">
    <w:name w:val="Placeholder Text"/>
    <w:basedOn w:val="a0"/>
    <w:uiPriority w:val="99"/>
    <w:semiHidden/>
    <w:rsid w:val="00615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 tan</dc:creator>
  <cp:lastModifiedBy>hui tan</cp:lastModifiedBy>
  <cp:revision>2</cp:revision>
  <dcterms:created xsi:type="dcterms:W3CDTF">2026-06-20T03:57:00Z</dcterms:created>
  <dcterms:modified xsi:type="dcterms:W3CDTF">2026-06-20T04:33:00Z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2026-06-20T00:00:00Z</vt:filetime>
  </property>
  <property fmtid="{D5CDD505-2E9C-101B-9397-08002B2CF9AE}" pid="5" name="Producer">
    <vt:lpwstr>3-Heights(TM) PDF Security Shell 4.8.25.2 (http://www.pdf-tools.com)</vt:lpwstr>
  </property>
</Properties>
</file>